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14" w:type="dxa"/>
        <w:tblInd w:w="-318" w:type="dxa"/>
        <w:tblLayout w:type="fixed"/>
        <w:tblLook w:val="04A0"/>
      </w:tblPr>
      <w:tblGrid>
        <w:gridCol w:w="642"/>
        <w:gridCol w:w="2903"/>
        <w:gridCol w:w="6669"/>
      </w:tblGrid>
      <w:tr w:rsidR="0048623F" w:rsidRPr="00CD01F3" w:rsidTr="00D45241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gridSpan w:val="2"/>
          </w:tcPr>
          <w:p w:rsidR="0048623F" w:rsidRPr="00D7473C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73C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:rsidTr="00D45241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gridSpan w:val="2"/>
          </w:tcPr>
          <w:p w:rsidR="003459BD" w:rsidRDefault="003866CD" w:rsidP="003866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316326" w:rsidRPr="00AA1FCF">
              <w:rPr>
                <w:rFonts w:ascii="Times New Roman" w:hAnsi="Times New Roman"/>
                <w:b/>
                <w:sz w:val="26"/>
                <w:szCs w:val="26"/>
              </w:rPr>
              <w:t xml:space="preserve">ксплуатация </w:t>
            </w:r>
            <w:bookmarkStart w:id="0" w:name="_Hlk142907359"/>
            <w:r w:rsidR="008C77CE">
              <w:rPr>
                <w:rFonts w:ascii="Times New Roman" w:hAnsi="Times New Roman"/>
                <w:b/>
                <w:sz w:val="26"/>
                <w:szCs w:val="26"/>
              </w:rPr>
              <w:t>объект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C77CE" w:rsidRPr="008C77C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C77CE" w:rsidRPr="008C77CE">
              <w:rPr>
                <w:rFonts w:ascii="Times New Roman" w:hAnsi="Times New Roman"/>
                <w:b/>
                <w:sz w:val="26"/>
                <w:szCs w:val="26"/>
              </w:rPr>
              <w:t>электросетевого</w:t>
            </w:r>
            <w:proofErr w:type="spellEnd"/>
            <w:r w:rsidR="008C77CE" w:rsidRPr="008C77CE">
              <w:rPr>
                <w:rFonts w:ascii="Times New Roman" w:hAnsi="Times New Roman"/>
                <w:b/>
                <w:sz w:val="26"/>
                <w:szCs w:val="26"/>
              </w:rPr>
              <w:t xml:space="preserve"> хозяйства федерального значения</w:t>
            </w:r>
            <w:bookmarkEnd w:id="0"/>
          </w:p>
          <w:p w:rsidR="000545C6" w:rsidRPr="00AA1FCF" w:rsidRDefault="003F4B96" w:rsidP="003866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866CD" w:rsidRPr="003866CD">
              <w:rPr>
                <w:rFonts w:ascii="Times New Roman" w:hAnsi="Times New Roman"/>
                <w:b/>
                <w:sz w:val="26"/>
                <w:szCs w:val="26"/>
              </w:rPr>
              <w:t>ВЛ220 кВ</w:t>
            </w:r>
            <w:r w:rsidR="003866CD" w:rsidRPr="003866CD">
              <w:rPr>
                <w:rFonts w:ascii="Times New Roman" w:hAnsi="Times New Roman"/>
                <w:b/>
                <w:spacing w:val="1"/>
                <w:sz w:val="26"/>
                <w:szCs w:val="26"/>
              </w:rPr>
              <w:t xml:space="preserve"> Печорская ГРЭС – Ухта</w:t>
            </w:r>
            <w:r>
              <w:rPr>
                <w:rFonts w:ascii="Times New Roman" w:hAnsi="Times New Roman"/>
                <w:b/>
                <w:spacing w:val="1"/>
                <w:sz w:val="26"/>
                <w:szCs w:val="26"/>
              </w:rPr>
              <w:t>»</w:t>
            </w:r>
          </w:p>
        </w:tc>
      </w:tr>
      <w:tr w:rsidR="00894693" w:rsidRPr="00CD01F3" w:rsidTr="003F4B96">
        <w:trPr>
          <w:trHeight w:val="842"/>
        </w:trPr>
        <w:tc>
          <w:tcPr>
            <w:tcW w:w="642" w:type="dxa"/>
            <w:vMerge w:val="restart"/>
            <w:vAlign w:val="center"/>
          </w:tcPr>
          <w:p w:rsidR="00894693" w:rsidRPr="00CD01F3" w:rsidRDefault="0089469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894693" w:rsidRPr="00CD01F3" w:rsidRDefault="00894693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9" w:type="dxa"/>
            <w:vAlign w:val="center"/>
          </w:tcPr>
          <w:p w:rsidR="00894693" w:rsidRPr="00CD01F3" w:rsidRDefault="00894693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Печора, городское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Печора</w:t>
            </w: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. Печора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11:12:1704002:592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Печора, городское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Печора</w:t>
            </w: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. Печора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11:12:1704002:593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11:12:1704002:599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Печорская ГРЭС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11:12:1704002:596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11:12:1704002:598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Печора, городское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Печора</w:t>
            </w: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. Печора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11:12:1704002:211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земельный участок расположен в северной части кадастрового квартала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11:12:1704002:594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"Печора"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11:12:1704002:613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Печорская ГРЭС</w:t>
            </w:r>
          </w:p>
        </w:tc>
      </w:tr>
      <w:tr w:rsidR="003866CD" w:rsidRPr="00CD01F3" w:rsidTr="003F4B96">
        <w:tc>
          <w:tcPr>
            <w:tcW w:w="642" w:type="dxa"/>
            <w:vMerge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11:12:1704001:153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Печора, городское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Печора</w:t>
            </w: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11:12:1704001:152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Печора, городское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Печора</w:t>
            </w: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11:12:0501001:2244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Печорское лесничество, Левобережное участковое лесничество, кв.201, 202, 190, 191, 200, 211, 210, 209, 219, 218, 217, 216, 215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11:12:0601001:3076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земельный участок расположен в северо-восточной части кадастрового квартала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11:12:0601001:3789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муниципальный район «Печора», сельское поселение «Озёрный»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11:12:0601001:3874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Печорское лесничество, Левобережное участковое лесничество, кв.191, 201, 202, 190, 200, 211, 210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11:12:0601001:3836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сельское поселение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Чикшино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Березовское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377, 376,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Чикшинское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20, 19, 36, 35, 34, 56, 55, 54, 53, 88, 87, 86, 85, 111, 110, 109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11:12:0601001:3577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ГУ «Печорское лесничество», Левобережное участковое лесничество, кв.205, 206, 216, 217, 227, 228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11:12:0601001:1747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11:12:0601001:3050)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11:12:0601001:3053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Печорское лесничество, Левобережное участковое лесничество, кв.: 205, 206, 216, 217, 227, 228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11:12:0601001:3837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сельское поселение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Каджеромское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561, 560, 640, 639, 679, 678, 691, 690, 689,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Таловское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29, 28, 39, 38, 37,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Зеленоборское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376, 375, 374, 433, 432, 489, 488, 545, 601, 600, 659, 715, 716, 783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11:12:0601001:3895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«Печора», городское поселение «Кожва», Печорское лесничество, Левобережное участковое лесничество, кв. 200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11:12:0601001:1421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11:12:0601001:730)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11:12:0501001:1631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11:12:0000000:125)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11:12:0501001:772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11:12:0000000:130)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Печора, Печорский лесхоз,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кв.86, 87, 105, 110, 131, 132, 146, 156, 175, 176, 184, 193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11:12:0000000:137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11:19:0000000:710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Ираельское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кв.10, 11, 37, 38, 75, 107, 108, 141,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Малоперское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кв.13, 14, 35, 36, 59, 102,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Висское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146, 147, 10, 29, 30, 49, 71, 90, 113, 114, 147, 148, 179, 180, 212,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Аювинское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кв.90, 91, 105, 121, 137, 138, 154, 153</w:t>
            </w:r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164, 165,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кв.6, 7, 22, 37, 38,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258, 257, 256, 254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11:19:0000000:137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Сосногорский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Сосногорский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Висское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кв. №№ 14, 34-36, 55, 56, 77, 78, 96, 97, 121, 122, 157, 158, 191, 192, 225, 226, 245.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кв. №№ 37, 71, 107, 143, 144, 179, 180.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Малоперское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кв. №№ 12, 13, 34-36, 60, 61, 104, 149.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Ираельское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кв. №№ 103, 104, 138, 139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11:19:0301001:1603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11:19:0000000:56)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Сосногорск, кв. №12-15, 33-37, 61-64, 81-86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Конашъельского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кв. №119-127, 80-83, 112-116, 140-147, 173-178, 211-213, 248-249, 268, 300, 302, 336-340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Нижне-Одесского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кв. 3-5 9-12 ,21-24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кв. №231-233, 215-221, 201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11:19:0301001:1615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11:19:0000000:57)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Сосногорск, кв. №№12-15, 33-37, 61-64, 81-86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Конашъельского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кв. №№119-127, 80-83, 112-116, 140-147, 173-178, 211-213, 248-249, 268, 300-302, 336-340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кв. №№3-5, 9-12, 21-24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кв. №№231-233, 215-221, 201, 196-198, 212, 213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11:19:0301001:5025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11:19:0301001:5007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муниципальный район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11:19:0301001:385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11:19:0301001:371)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Сосногорск,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Сосногорский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кварталы 243, 244,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кварталы 3, 4, 5, 9, 10, 11, 12, 21, 22, 23, 24, 37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11:19:0301001:5020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22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11:19:0501001:1292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кварталы 37, 38, 22, 23, 24, 25, 9, 10, 11, 12, 4, 5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11:19:0000000:745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№№ 4, 5, 10, 11, 12, 13, 23, 24, 25, 37, 38, 39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11:19:0401001:16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11:19:0000000:4)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11:19:0501001:11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11:19:0000000:4)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11:19:0401001:75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11:19:0000000:60)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Сосногорск, кварталы №№ 23, 37-39, 59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Пожнинского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лесничества; кварталы №№ 254-259, 263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лесничества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Сосногорского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лесхоза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11:19:0401001:78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11:19:0000000:62)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11:19:0401001:84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11:19:0401001:83)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11:19:0401001:213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Сосногорск, земельный участок расположен в центральной части кадастрового квартала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11:19:0401001:535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256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11:19:0401001:212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Сосногорск,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кварталы 256, 257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11:19:0401001:545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256, 257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11:19:0401001:131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11:19:0401001:117)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11:19:0401001:538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муниципальный район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11:19:0401001:546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«Сосногорск»,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</w:t>
            </w:r>
            <w:r w:rsidR="00D45241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spellEnd"/>
            <w:r w:rsidR="00D45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</w:t>
            </w: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11:19:0401001:95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11:19:0401001:87)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11:12:3401001:1677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«Печора», сельское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</w:t>
            </w:r>
            <w:proofErr w:type="spellEnd"/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11:12:3401001:1675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муниципальный район «Печора», сельское поселение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</w:t>
            </w:r>
            <w:proofErr w:type="spellEnd"/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11:19:0503001:116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муниципальный район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11:19:0503001:115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муниципальный район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11:12:0000000:2748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МР «Печора», Печорское лесничество,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196, 195, 194, 202, Левобережное участковое лесничество, кв. 191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11:19:0000000:673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муниципальный район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11:19:0401001:262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г. Сосногорск,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254, 256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11:19:0000000:454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11:19:0301001:4477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11:19:0301001:4704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Сосногорск,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Айювинское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165,166,167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11:12:0601001:3825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муниципальное образование муниципальный район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11:12:0501001:1636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11:19:0501001:678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Сосногорск, земельный участок расположен в северо-западной части кадастрового квартала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11:12:3801001:332</w:t>
            </w:r>
          </w:p>
        </w:tc>
        <w:tc>
          <w:tcPr>
            <w:tcW w:w="6669" w:type="dxa"/>
          </w:tcPr>
          <w:p w:rsidR="003866CD" w:rsidRPr="00D45241" w:rsidRDefault="003866CD" w:rsidP="00D452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«Печора», сельское поселение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Каджером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. Рыбница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11:12:1704002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11:12:1704001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11:12:3801001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11:12:3401001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11:19:0503001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11:12:0501001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11:19:0501001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11:12:0000000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«Печора»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11:19:0000000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МО МР «Сосногорск»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11:12:0601001:3459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МР «Печора», Печорское лесничество,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Леавобережное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205, 206, 217, 227, 228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11:12:0601001:230</w:t>
            </w:r>
          </w:p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(ЕЗП 11:12:0000000:90)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г. Печора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11:19:0301001:5098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Сосногорск,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Айювинское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165, 166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11:19:0401001:277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Коми, МР Сосногорск, ГУ «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Сосногорское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Усть-Ухтинское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256</w:t>
            </w:r>
          </w:p>
        </w:tc>
      </w:tr>
      <w:tr w:rsidR="003866CD" w:rsidRPr="00CD01F3" w:rsidTr="003F4B96">
        <w:tc>
          <w:tcPr>
            <w:tcW w:w="642" w:type="dxa"/>
          </w:tcPr>
          <w:p w:rsidR="003866CD" w:rsidRPr="00CD01F3" w:rsidRDefault="003866CD" w:rsidP="00386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866CD" w:rsidRPr="003866CD" w:rsidRDefault="003866CD" w:rsidP="0038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11:12:0000000:2788</w:t>
            </w:r>
          </w:p>
        </w:tc>
        <w:tc>
          <w:tcPr>
            <w:tcW w:w="6669" w:type="dxa"/>
          </w:tcPr>
          <w:p w:rsidR="003866CD" w:rsidRPr="003866CD" w:rsidRDefault="003866CD" w:rsidP="00D452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МР Печора, ГУ «Печорское лесничество», </w:t>
            </w:r>
            <w:proofErr w:type="spellStart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>Канинское</w:t>
            </w:r>
            <w:proofErr w:type="spellEnd"/>
            <w:r w:rsidRPr="0038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 151, 152, 153, 154, 156</w:t>
            </w:r>
          </w:p>
        </w:tc>
      </w:tr>
      <w:tr w:rsidR="00894693" w:rsidRPr="00CD01F3" w:rsidTr="00D45241">
        <w:tc>
          <w:tcPr>
            <w:tcW w:w="642" w:type="dxa"/>
          </w:tcPr>
          <w:p w:rsidR="00894693" w:rsidRPr="00CD01F3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gridSpan w:val="2"/>
          </w:tcPr>
          <w:p w:rsidR="00124787" w:rsidRPr="003F4B96" w:rsidRDefault="00B63C92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4787" w:rsidRPr="003F4B96">
              <w:rPr>
                <w:rFonts w:ascii="Times New Roman" w:hAnsi="Times New Roman"/>
                <w:sz w:val="24"/>
                <w:szCs w:val="24"/>
              </w:rPr>
              <w:t>городского поселения Сосногорск</w:t>
            </w:r>
          </w:p>
          <w:p w:rsidR="00B63C92" w:rsidRPr="003F4B96" w:rsidRDefault="0029449D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муниципального района Сосногорск Республики Коми</w:t>
            </w:r>
          </w:p>
          <w:p w:rsidR="00124787" w:rsidRPr="003F4B96" w:rsidRDefault="00124787" w:rsidP="00124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 xml:space="preserve">169500, Республика Коми, г. Сосногорск, ул. Зои Космодемьянской, </w:t>
            </w:r>
            <w:r w:rsidR="00045079" w:rsidRPr="003F4B96">
              <w:rPr>
                <w:rFonts w:ascii="Times New Roman" w:hAnsi="Times New Roman"/>
                <w:sz w:val="24"/>
                <w:szCs w:val="24"/>
              </w:rPr>
              <w:t>д.</w:t>
            </w:r>
            <w:r w:rsidRPr="003F4B96">
              <w:rPr>
                <w:rFonts w:ascii="Times New Roman" w:hAnsi="Times New Roman"/>
                <w:sz w:val="24"/>
                <w:szCs w:val="24"/>
              </w:rPr>
              <w:t>72.</w:t>
            </w:r>
          </w:p>
          <w:p w:rsidR="00124787" w:rsidRPr="003F4B96" w:rsidRDefault="00124787" w:rsidP="00124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+7 (82149) 5-72-73</w:t>
            </w:r>
          </w:p>
          <w:p w:rsidR="0002206A" w:rsidRPr="003F4B96" w:rsidRDefault="00BE6C83" w:rsidP="001247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124787" w:rsidRPr="003F4B96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adminsosn@mail.ru</w:t>
              </w:r>
            </w:hyperlink>
          </w:p>
          <w:p w:rsidR="00B63C92" w:rsidRPr="003F4B96" w:rsidRDefault="004A33F7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:rsidR="004A33F7" w:rsidRPr="003F4B96" w:rsidRDefault="004A33F7" w:rsidP="00B63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3F7" w:rsidRPr="003F4B96" w:rsidRDefault="0012478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A33F7" w:rsidRPr="003F4B9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3F4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B96">
              <w:rPr>
                <w:rFonts w:ascii="Times New Roman" w:hAnsi="Times New Roman"/>
                <w:sz w:val="24"/>
                <w:szCs w:val="24"/>
              </w:rPr>
              <w:t>Каджером</w:t>
            </w:r>
            <w:proofErr w:type="spellEnd"/>
            <w:r w:rsidRPr="003F4B9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693BC5" w:rsidRPr="003F4B96">
              <w:rPr>
                <w:rFonts w:ascii="Times New Roman" w:hAnsi="Times New Roman"/>
                <w:sz w:val="24"/>
                <w:szCs w:val="24"/>
              </w:rPr>
              <w:t>Печора Республики Коми</w:t>
            </w:r>
          </w:p>
          <w:p w:rsidR="004A33F7" w:rsidRPr="003F4B96" w:rsidRDefault="00693BC5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 xml:space="preserve">169630, Республика Коми, муниципальный район Печора, п. </w:t>
            </w:r>
            <w:proofErr w:type="spellStart"/>
            <w:r w:rsidRPr="003F4B96">
              <w:rPr>
                <w:rFonts w:ascii="Times New Roman" w:hAnsi="Times New Roman"/>
                <w:sz w:val="24"/>
                <w:szCs w:val="24"/>
              </w:rPr>
              <w:t>Каджером</w:t>
            </w:r>
            <w:proofErr w:type="spellEnd"/>
            <w:r w:rsidRPr="003F4B96">
              <w:rPr>
                <w:rFonts w:ascii="Times New Roman" w:hAnsi="Times New Roman"/>
                <w:sz w:val="24"/>
                <w:szCs w:val="24"/>
              </w:rPr>
              <w:t>, ул. Лесная, д.17а</w:t>
            </w:r>
          </w:p>
          <w:p w:rsidR="004A33F7" w:rsidRPr="003F4B96" w:rsidRDefault="00693BC5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+7 (82142) 9-83-68</w:t>
            </w:r>
          </w:p>
          <w:p w:rsidR="004A33F7" w:rsidRPr="003F4B96" w:rsidRDefault="00693BC5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mo.sp.kadzherom@mail.ru</w:t>
            </w:r>
          </w:p>
          <w:p w:rsidR="004A33F7" w:rsidRPr="003F4B96" w:rsidRDefault="004A33F7" w:rsidP="004A33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:rsidR="004A33F7" w:rsidRPr="003F4B96" w:rsidRDefault="004A33F7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3F7" w:rsidRPr="003F4B96" w:rsidRDefault="00693BC5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F4B96">
              <w:rPr>
                <w:rFonts w:ascii="Times New Roman" w:hAnsi="Times New Roman"/>
                <w:sz w:val="24"/>
                <w:szCs w:val="24"/>
              </w:rPr>
              <w:t>Чикшино</w:t>
            </w:r>
            <w:proofErr w:type="spellEnd"/>
            <w:r w:rsidRPr="003F4B9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Печора Республики Коми</w:t>
            </w:r>
          </w:p>
          <w:p w:rsidR="00693BC5" w:rsidRPr="003F4B96" w:rsidRDefault="00693BC5" w:rsidP="00894693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169640, Республика Коми</w:t>
            </w:r>
            <w:r w:rsidR="00A24B8C"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муниципальный район Печора</w:t>
            </w:r>
            <w:r w:rsidR="00A24B8C"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п. </w:t>
            </w:r>
            <w:proofErr w:type="spellStart"/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Чикшино</w:t>
            </w:r>
            <w:proofErr w:type="spellEnd"/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</w:p>
          <w:p w:rsidR="00A24B8C" w:rsidRPr="003F4B96" w:rsidRDefault="00693BC5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Центральная, д.2</w:t>
            </w:r>
          </w:p>
          <w:p w:rsidR="004A33F7" w:rsidRPr="003F4B96" w:rsidRDefault="00A24B8C" w:rsidP="00894693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+7 (</w:t>
            </w:r>
            <w:r w:rsidR="00693BC5"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82142) 9-01-65</w:t>
            </w:r>
          </w:p>
          <w:p w:rsidR="00A24B8C" w:rsidRPr="003F4B96" w:rsidRDefault="00693BC5" w:rsidP="00894693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adm-chiksh@yandex.ru</w:t>
            </w:r>
          </w:p>
          <w:p w:rsidR="00A24B8C" w:rsidRPr="003F4B96" w:rsidRDefault="00A24B8C" w:rsidP="00A24B8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:rsidR="00A24B8C" w:rsidRPr="003F4B96" w:rsidRDefault="00A24B8C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Кожва муниципального района Печора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Республики Коми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169663, Республика Коми, муниципальный район Печора, </w:t>
            </w:r>
            <w:proofErr w:type="spellStart"/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пгт</w:t>
            </w:r>
            <w:proofErr w:type="spellEnd"/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 Кожва,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Мира, д.12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+7 (82142) 9-51-22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kogba</w:t>
            </w:r>
            <w:proofErr w:type="spellEnd"/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admin</w:t>
            </w:r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@</w:t>
            </w:r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3F4B96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:rsidR="00045079" w:rsidRPr="003F4B96" w:rsidRDefault="00045079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Озёрный муниципального района Печора Республики Коми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1696</w:t>
            </w:r>
            <w:r w:rsidR="00DD5C7F"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34</w:t>
            </w: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Республика Коми, муниципальный район Печора, п. Озёрный,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ул. Центральная, д.15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+7 (82142) 9-42-45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4B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zaton-ozern-adm@mail.ru</w:t>
            </w:r>
          </w:p>
          <w:p w:rsidR="00045079" w:rsidRPr="003F4B96" w:rsidRDefault="00045079" w:rsidP="0004507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:rsidR="00045079" w:rsidRPr="003F4B96" w:rsidRDefault="00045079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C7F" w:rsidRPr="003F4B96" w:rsidRDefault="00DD5C7F" w:rsidP="00DD5C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Печора муниципального района Печора Республики Коми</w:t>
            </w:r>
          </w:p>
          <w:p w:rsidR="00DD5C7F" w:rsidRPr="003F4B96" w:rsidRDefault="00DD5C7F" w:rsidP="00DD5C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169600, Республика Коми, г. Печора, ул. Ленинградская, д.15</w:t>
            </w:r>
          </w:p>
          <w:p w:rsidR="00DD5C7F" w:rsidRPr="003F4B96" w:rsidRDefault="00D950BE" w:rsidP="00DD5C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+7 (82142) 7-07-70</w:t>
            </w:r>
          </w:p>
          <w:p w:rsidR="00DD5C7F" w:rsidRPr="003F4B96" w:rsidRDefault="00D950BE" w:rsidP="00D950BE">
            <w:pPr>
              <w:spacing w:line="240" w:lineRule="atLeast"/>
              <w:jc w:val="center"/>
              <w:rPr>
                <w:rStyle w:val="ae"/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3F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orgotdel</w:t>
            </w:r>
            <w:proofErr w:type="spellEnd"/>
            <w:r w:rsidRPr="003F4B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3F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mr</w:t>
            </w:r>
            <w:proofErr w:type="spellEnd"/>
            <w:r w:rsidRPr="003F4B9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3F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F4B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3F4B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DD5C7F" w:rsidRPr="003F4B96" w:rsidRDefault="00DD5C7F" w:rsidP="00DD5C7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B96">
              <w:rPr>
                <w:rFonts w:ascii="Times New Roman" w:hAnsi="Times New Roman"/>
                <w:sz w:val="24"/>
                <w:szCs w:val="24"/>
              </w:rPr>
              <w:t>Режим работы: по предварительной записи</w:t>
            </w:r>
          </w:p>
          <w:p w:rsidR="00DD5C7F" w:rsidRPr="00DD5C7F" w:rsidRDefault="00DD5C7F" w:rsidP="0089469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9C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</w:t>
            </w:r>
            <w:r w:rsidRPr="00DA6F49">
              <w:rPr>
                <w:rFonts w:ascii="Times New Roman" w:hAnsi="Times New Roman"/>
                <w:sz w:val="24"/>
                <w:szCs w:val="24"/>
              </w:rPr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94693" w:rsidRPr="00CD01F3" w:rsidTr="00D45241">
        <w:tc>
          <w:tcPr>
            <w:tcW w:w="642" w:type="dxa"/>
          </w:tcPr>
          <w:p w:rsidR="00894693" w:rsidRPr="00CD01F3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72" w:type="dxa"/>
            <w:gridSpan w:val="2"/>
          </w:tcPr>
          <w:p w:rsidR="00894693" w:rsidRPr="00F93F74" w:rsidRDefault="00894693" w:rsidP="00D45241">
            <w:pPr>
              <w:pStyle w:val="a3"/>
              <w:ind w:left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94693" w:rsidRPr="00C61070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94693" w:rsidRPr="00CD01F3" w:rsidTr="00D45241">
        <w:tc>
          <w:tcPr>
            <w:tcW w:w="642" w:type="dxa"/>
          </w:tcPr>
          <w:p w:rsidR="00894693" w:rsidRPr="00CD01F3" w:rsidRDefault="003F4B96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2" w:type="dxa"/>
            <w:gridSpan w:val="2"/>
          </w:tcPr>
          <w:p w:rsidR="00A24B8C" w:rsidRPr="00A659AC" w:rsidRDefault="00BE6C83" w:rsidP="00812920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A24B8C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5E6C71" w:rsidRPr="00A659AC" w:rsidRDefault="00BE6C83" w:rsidP="00812920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sosnogorsk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812920" w:rsidRPr="00A659AC" w:rsidRDefault="00812920" w:rsidP="0002206A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59AC">
              <w:rPr>
                <w:rFonts w:ascii="Times New Roman" w:hAnsi="Times New Roman"/>
                <w:sz w:val="24"/>
                <w:szCs w:val="24"/>
              </w:rPr>
              <w:t>http://pechoraonline.ru/</w:t>
            </w:r>
          </w:p>
          <w:p w:rsidR="0002206A" w:rsidRPr="00A659AC" w:rsidRDefault="00812920" w:rsidP="0002206A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9AC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A659AC">
              <w:rPr>
                <w:rFonts w:ascii="Times New Roman" w:hAnsi="Times New Roman"/>
                <w:sz w:val="24"/>
                <w:szCs w:val="24"/>
                <w:lang w:val="en-US"/>
              </w:rPr>
              <w:t>kadzherom</w:t>
            </w:r>
            <w:proofErr w:type="spellEnd"/>
            <w:r w:rsidRPr="00A659A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659AC">
              <w:rPr>
                <w:rFonts w:ascii="Times New Roman" w:hAnsi="Times New Roman"/>
                <w:sz w:val="24"/>
                <w:szCs w:val="24"/>
                <w:lang w:val="en-US"/>
              </w:rPr>
              <w:t>pechora</w:t>
            </w:r>
            <w:proofErr w:type="spellEnd"/>
            <w:r w:rsidRPr="00A659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659AC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02206A" w:rsidRPr="00A659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02206A" w:rsidRPr="00A659AC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02206A" w:rsidRPr="00A659A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12920" w:rsidRPr="00A659AC" w:rsidRDefault="00BE6C83" w:rsidP="00812920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chikshino</w:t>
              </w:r>
              <w:proofErr w:type="spellEnd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11</w:t>
              </w:r>
              <w:proofErr w:type="spellStart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gosweb</w:t>
              </w:r>
              <w:proofErr w:type="spellEnd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812920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A24B8C" w:rsidRPr="00A659AC" w:rsidRDefault="00812920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9AC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A659AC">
              <w:rPr>
                <w:rFonts w:ascii="Times New Roman" w:hAnsi="Times New Roman"/>
                <w:sz w:val="24"/>
                <w:szCs w:val="24"/>
                <w:lang w:val="en-US"/>
              </w:rPr>
              <w:t>kojva</w:t>
            </w:r>
            <w:proofErr w:type="spellEnd"/>
            <w:r w:rsidRPr="00A659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659AC">
              <w:rPr>
                <w:rFonts w:ascii="Times New Roman" w:hAnsi="Times New Roman"/>
                <w:sz w:val="24"/>
                <w:szCs w:val="24"/>
                <w:lang w:val="en-US"/>
              </w:rPr>
              <w:t>pechoraonline</w:t>
            </w:r>
            <w:proofErr w:type="spellEnd"/>
            <w:r w:rsidRPr="00A659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659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24B8C" w:rsidRPr="00A659A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24B8C" w:rsidRPr="00A659AC" w:rsidRDefault="00BE6C8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ozerny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pechora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5E6C71" w:rsidRPr="00A659AC" w:rsidRDefault="00BE6C83" w:rsidP="005E6C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pechoragp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pechoraonline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5E6C71" w:rsidRPr="00A659A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5E6C71" w:rsidRPr="00C61070" w:rsidRDefault="005E6C71" w:rsidP="0089469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C542E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3C542E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94693" w:rsidRPr="00CD01F3" w:rsidTr="00D45241">
        <w:tc>
          <w:tcPr>
            <w:tcW w:w="642" w:type="dxa"/>
          </w:tcPr>
          <w:p w:rsidR="00894693" w:rsidRPr="00CD01F3" w:rsidRDefault="003F4B96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2" w:type="dxa"/>
            <w:gridSpan w:val="2"/>
          </w:tcPr>
          <w:p w:rsidR="00894693" w:rsidRPr="001F5C4F" w:rsidRDefault="00894693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894693" w:rsidRPr="00A659AC" w:rsidRDefault="00894693" w:rsidP="008946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A659AC">
              <w:rPr>
                <w:sz w:val="24"/>
                <w:szCs w:val="24"/>
                <w:lang w:val="ru-RU"/>
              </w:rPr>
              <w:lastRenderedPageBreak/>
              <w:t>ПАО «</w:t>
            </w:r>
            <w:proofErr w:type="spellStart"/>
            <w:r w:rsidRPr="00A659AC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Pr="00A659AC">
              <w:rPr>
                <w:sz w:val="24"/>
                <w:szCs w:val="24"/>
                <w:lang w:val="ru-RU"/>
              </w:rPr>
              <w:t>»</w:t>
            </w:r>
          </w:p>
          <w:p w:rsidR="00894693" w:rsidRPr="00A659AC" w:rsidRDefault="00894693" w:rsidP="008946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A659AC">
              <w:rPr>
                <w:sz w:val="24"/>
                <w:szCs w:val="24"/>
                <w:lang w:val="ru-RU"/>
              </w:rPr>
              <w:t xml:space="preserve">121353, город Москва, </w:t>
            </w:r>
            <w:proofErr w:type="spellStart"/>
            <w:r w:rsidRPr="00A659AC">
              <w:rPr>
                <w:sz w:val="24"/>
                <w:szCs w:val="24"/>
                <w:lang w:val="ru-RU"/>
              </w:rPr>
              <w:t>вн</w:t>
            </w:r>
            <w:proofErr w:type="gramStart"/>
            <w:r w:rsidRPr="00A659AC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A659AC">
              <w:rPr>
                <w:sz w:val="24"/>
                <w:szCs w:val="24"/>
                <w:lang w:val="ru-RU"/>
              </w:rPr>
              <w:t>ер.г</w:t>
            </w:r>
            <w:proofErr w:type="spellEnd"/>
            <w:r w:rsidRPr="00A659AC">
              <w:rPr>
                <w:sz w:val="24"/>
                <w:szCs w:val="24"/>
                <w:lang w:val="ru-RU"/>
              </w:rPr>
              <w:t xml:space="preserve">. Муниципальный округ Можайский, </w:t>
            </w:r>
            <w:r w:rsidRPr="00A659AC">
              <w:rPr>
                <w:sz w:val="24"/>
                <w:szCs w:val="24"/>
                <w:lang w:val="ru-RU"/>
              </w:rPr>
              <w:br/>
              <w:t>ул. Беловежская, д. 4</w:t>
            </w:r>
          </w:p>
          <w:p w:rsidR="00894693" w:rsidRPr="00AA1FCF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9AC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894693" w:rsidRPr="00CD01F3" w:rsidTr="00D45241">
        <w:tc>
          <w:tcPr>
            <w:tcW w:w="642" w:type="dxa"/>
          </w:tcPr>
          <w:p w:rsidR="00894693" w:rsidRPr="00CD01F3" w:rsidRDefault="003F4B96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bookmarkStart w:id="1" w:name="_GoBack"/>
            <w:bookmarkEnd w:id="1"/>
          </w:p>
        </w:tc>
        <w:tc>
          <w:tcPr>
            <w:tcW w:w="9572" w:type="dxa"/>
            <w:gridSpan w:val="2"/>
          </w:tcPr>
          <w:p w:rsidR="00894693" w:rsidRPr="00CD01F3" w:rsidRDefault="00894693" w:rsidP="0089469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F58"/>
    <w:rsid w:val="00004F95"/>
    <w:rsid w:val="0002073B"/>
    <w:rsid w:val="0002206A"/>
    <w:rsid w:val="00045079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E1D3A"/>
    <w:rsid w:val="000F0586"/>
    <w:rsid w:val="000F5FAA"/>
    <w:rsid w:val="00103A7D"/>
    <w:rsid w:val="00124787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179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9449D"/>
    <w:rsid w:val="002A3B05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59BD"/>
    <w:rsid w:val="003478C1"/>
    <w:rsid w:val="0037117A"/>
    <w:rsid w:val="00384231"/>
    <w:rsid w:val="003866CD"/>
    <w:rsid w:val="003B46BB"/>
    <w:rsid w:val="003C542E"/>
    <w:rsid w:val="003D3D40"/>
    <w:rsid w:val="003D5AC3"/>
    <w:rsid w:val="003E2DBD"/>
    <w:rsid w:val="003F373A"/>
    <w:rsid w:val="003F4B96"/>
    <w:rsid w:val="004222E1"/>
    <w:rsid w:val="00426433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E6C71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93BC5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187B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12920"/>
    <w:rsid w:val="0082137B"/>
    <w:rsid w:val="00831F2A"/>
    <w:rsid w:val="008346DE"/>
    <w:rsid w:val="00837B1B"/>
    <w:rsid w:val="00855098"/>
    <w:rsid w:val="00872429"/>
    <w:rsid w:val="00885C64"/>
    <w:rsid w:val="0089194F"/>
    <w:rsid w:val="00894693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7A5D"/>
    <w:rsid w:val="00956A6A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24B8C"/>
    <w:rsid w:val="00A31C7B"/>
    <w:rsid w:val="00A50B57"/>
    <w:rsid w:val="00A53E8D"/>
    <w:rsid w:val="00A572F6"/>
    <w:rsid w:val="00A63F58"/>
    <w:rsid w:val="00A659AC"/>
    <w:rsid w:val="00A70B2B"/>
    <w:rsid w:val="00A83972"/>
    <w:rsid w:val="00A95A85"/>
    <w:rsid w:val="00AA1FCF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3C92"/>
    <w:rsid w:val="00B64C44"/>
    <w:rsid w:val="00B67D28"/>
    <w:rsid w:val="00B75A42"/>
    <w:rsid w:val="00B95BB1"/>
    <w:rsid w:val="00BB545F"/>
    <w:rsid w:val="00BD0573"/>
    <w:rsid w:val="00BD3E17"/>
    <w:rsid w:val="00BD4615"/>
    <w:rsid w:val="00BE5E58"/>
    <w:rsid w:val="00BE6C83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3439C"/>
    <w:rsid w:val="00D45241"/>
    <w:rsid w:val="00D72159"/>
    <w:rsid w:val="00D7473C"/>
    <w:rsid w:val="00D75C35"/>
    <w:rsid w:val="00D92B0E"/>
    <w:rsid w:val="00D93BB4"/>
    <w:rsid w:val="00D950BE"/>
    <w:rsid w:val="00DA6F49"/>
    <w:rsid w:val="00DC4BEF"/>
    <w:rsid w:val="00DD5C7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83"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paragraph" w:styleId="af0">
    <w:name w:val="annotation text"/>
    <w:basedOn w:val="a"/>
    <w:link w:val="af1"/>
    <w:uiPriority w:val="99"/>
    <w:semiHidden/>
    <w:unhideWhenUsed/>
    <w:rsid w:val="003866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866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866CD"/>
    <w:pPr>
      <w:autoSpaceDE w:val="0"/>
      <w:autoSpaceDN w:val="0"/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rsid w:val="003866C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paragraph" w:styleId="af0">
    <w:name w:val="annotation text"/>
    <w:basedOn w:val="a"/>
    <w:link w:val="af1"/>
    <w:uiPriority w:val="99"/>
    <w:semiHidden/>
    <w:unhideWhenUsed/>
    <w:rsid w:val="003866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866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866CD"/>
    <w:pPr>
      <w:autoSpaceDE w:val="0"/>
      <w:autoSpaceDN w:val="0"/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rsid w:val="003866C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ogorsk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sosn@mail.ru" TargetMode="External"/><Relationship Id="rId11" Type="http://schemas.openxmlformats.org/officeDocument/2006/relationships/hyperlink" Target="http://pechoragp.pechora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zerny-pechor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kshino-r11gosweb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9A9E-C47F-4C99-81C4-92BECC8A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11485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2023-12-15T12:30:00Z</cp:lastPrinted>
  <dcterms:created xsi:type="dcterms:W3CDTF">2024-05-27T08:02:00Z</dcterms:created>
  <dcterms:modified xsi:type="dcterms:W3CDTF">2024-05-27T08:02:00Z</dcterms:modified>
</cp:coreProperties>
</file>