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55" w:rsidRDefault="00353155" w:rsidP="00EA6E63">
      <w:p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</w:t>
      </w:r>
      <w:r w:rsidR="00A976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4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ТНАЯ </w:t>
      </w:r>
      <w:r w:rsidR="00A9762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МУНИЦИПАЛЬНОГО РАЙОНА</w:t>
      </w:r>
    </w:p>
    <w:p w:rsidR="00A97629" w:rsidRPr="003E4D6F" w:rsidRDefault="00A97629" w:rsidP="00EA6E63">
      <w:p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«ПЕЧОРА»</w:t>
      </w:r>
    </w:p>
    <w:p w:rsidR="00353155" w:rsidRPr="003E4D6F" w:rsidRDefault="00353155" w:rsidP="00353155">
      <w:pPr>
        <w:spacing w:line="240" w:lineRule="auto"/>
        <w:jc w:val="center"/>
        <w:rPr>
          <w:color w:val="000000" w:themeColor="text1"/>
        </w:rPr>
      </w:pPr>
    </w:p>
    <w:p w:rsidR="00353155" w:rsidRPr="003E4D6F" w:rsidRDefault="00353155" w:rsidP="00353155">
      <w:pPr>
        <w:spacing w:line="240" w:lineRule="auto"/>
        <w:jc w:val="center"/>
        <w:rPr>
          <w:color w:val="000000" w:themeColor="text1"/>
        </w:rPr>
      </w:pPr>
    </w:p>
    <w:p w:rsidR="00353155" w:rsidRPr="003E4D6F" w:rsidRDefault="00353155" w:rsidP="00353155">
      <w:pPr>
        <w:spacing w:line="240" w:lineRule="auto"/>
        <w:jc w:val="center"/>
        <w:rPr>
          <w:color w:val="000000" w:themeColor="text1"/>
        </w:rPr>
      </w:pPr>
    </w:p>
    <w:p w:rsidR="00353155" w:rsidRPr="003E4D6F" w:rsidRDefault="00353155" w:rsidP="00353155">
      <w:pPr>
        <w:spacing w:line="240" w:lineRule="auto"/>
        <w:jc w:val="center"/>
        <w:rPr>
          <w:color w:val="000000" w:themeColor="text1"/>
        </w:rPr>
      </w:pPr>
    </w:p>
    <w:p w:rsidR="00505F9A" w:rsidRPr="003E4D6F" w:rsidRDefault="00505F9A" w:rsidP="00353155">
      <w:pPr>
        <w:spacing w:line="240" w:lineRule="auto"/>
        <w:jc w:val="center"/>
        <w:rPr>
          <w:color w:val="000000" w:themeColor="text1"/>
        </w:rPr>
      </w:pPr>
    </w:p>
    <w:p w:rsidR="00505F9A" w:rsidRPr="003E4D6F" w:rsidRDefault="00505F9A" w:rsidP="00353155">
      <w:pPr>
        <w:spacing w:line="240" w:lineRule="auto"/>
        <w:jc w:val="center"/>
        <w:rPr>
          <w:color w:val="000000" w:themeColor="text1"/>
        </w:rPr>
      </w:pPr>
    </w:p>
    <w:p w:rsidR="00353155" w:rsidRPr="003E4D6F" w:rsidRDefault="00353155" w:rsidP="003531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12DCA" w:rsidRPr="0020160C" w:rsidRDefault="00353155" w:rsidP="00EA6E63">
      <w:pPr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СТАНДАРТ </w:t>
      </w:r>
    </w:p>
    <w:p w:rsidR="00353155" w:rsidRPr="0020160C" w:rsidRDefault="00353155" w:rsidP="00EA6E63">
      <w:pPr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ВНЕШНЕГО </w:t>
      </w:r>
      <w:r w:rsidR="00A97629" w:rsidRPr="0020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Pr="0020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КОНТРОЛЯ</w:t>
      </w:r>
    </w:p>
    <w:p w:rsidR="00353155" w:rsidRPr="00840A8A" w:rsidRDefault="00353155" w:rsidP="00EA6E6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F796B" w:rsidRPr="00840A8A" w:rsidRDefault="00A97629" w:rsidP="00EA6E6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53155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B3086E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>Финансово –</w:t>
      </w:r>
      <w:bookmarkStart w:id="0" w:name="_GoBack"/>
      <w:bookmarkEnd w:id="0"/>
      <w:r w:rsidR="00B3086E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экономическая экспертиза и проведение аудита эффективности</w:t>
      </w:r>
      <w:r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муниципальных</w:t>
      </w:r>
      <w:r w:rsidR="002F796B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программ</w:t>
      </w:r>
      <w:r w:rsidR="0020160C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26776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муниципального района </w:t>
      </w:r>
      <w:r w:rsidR="0020160C"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«Печора</w:t>
      </w:r>
      <w:r w:rsidRPr="00840A8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353155" w:rsidRPr="003E4D6F" w:rsidRDefault="00353155" w:rsidP="00EA6E6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97629" w:rsidRPr="007F6276" w:rsidRDefault="00167EB3" w:rsidP="00EA6E63">
      <w:pPr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2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627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7F6276">
        <w:rPr>
          <w:rFonts w:ascii="Times New Roman" w:hAnsi="Times New Roman" w:cs="Times New Roman"/>
          <w:sz w:val="28"/>
          <w:szCs w:val="28"/>
        </w:rPr>
        <w:t xml:space="preserve"> </w:t>
      </w:r>
      <w:r w:rsidR="00A97629">
        <w:rPr>
          <w:rFonts w:ascii="Times New Roman" w:hAnsi="Times New Roman" w:cs="Times New Roman"/>
          <w:sz w:val="28"/>
          <w:szCs w:val="28"/>
        </w:rPr>
        <w:t>приказом</w:t>
      </w:r>
      <w:r w:rsidRPr="007F6276">
        <w:rPr>
          <w:rFonts w:ascii="Times New Roman" w:hAnsi="Times New Roman" w:cs="Times New Roman"/>
          <w:sz w:val="28"/>
          <w:szCs w:val="28"/>
        </w:rPr>
        <w:t xml:space="preserve"> </w:t>
      </w:r>
      <w:r w:rsidR="00C4290C">
        <w:rPr>
          <w:rFonts w:ascii="Times New Roman" w:hAnsi="Times New Roman" w:cs="Times New Roman"/>
          <w:sz w:val="28"/>
          <w:szCs w:val="28"/>
        </w:rPr>
        <w:t>п</w:t>
      </w:r>
      <w:r w:rsidR="00A97629">
        <w:rPr>
          <w:rFonts w:ascii="Times New Roman" w:hAnsi="Times New Roman" w:cs="Times New Roman"/>
          <w:sz w:val="28"/>
          <w:szCs w:val="28"/>
        </w:rPr>
        <w:t>редседателя</w:t>
      </w:r>
      <w:r w:rsidRPr="007F6276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="00A97629">
        <w:rPr>
          <w:rFonts w:ascii="Times New Roman" w:hAnsi="Times New Roman" w:cs="Times New Roman"/>
          <w:sz w:val="28"/>
          <w:szCs w:val="28"/>
        </w:rPr>
        <w:t xml:space="preserve"> комиссии муниципального района «Печора» </w:t>
      </w:r>
      <w:r w:rsidR="00A97629" w:rsidRPr="00CA1039">
        <w:rPr>
          <w:rFonts w:ascii="Times New Roman" w:hAnsi="Times New Roman" w:cs="Times New Roman"/>
          <w:sz w:val="28"/>
          <w:szCs w:val="28"/>
        </w:rPr>
        <w:t>от</w:t>
      </w:r>
      <w:r w:rsidR="00CA1039" w:rsidRPr="00CA1039">
        <w:rPr>
          <w:rFonts w:ascii="Times New Roman" w:hAnsi="Times New Roman" w:cs="Times New Roman"/>
          <w:sz w:val="28"/>
          <w:szCs w:val="28"/>
        </w:rPr>
        <w:t xml:space="preserve"> </w:t>
      </w:r>
      <w:r w:rsidR="00CC02BC">
        <w:rPr>
          <w:rFonts w:ascii="Times New Roman" w:hAnsi="Times New Roman" w:cs="Times New Roman"/>
          <w:sz w:val="28"/>
          <w:szCs w:val="28"/>
        </w:rPr>
        <w:t>07</w:t>
      </w:r>
      <w:r w:rsidR="00CA1039" w:rsidRPr="00CA1039">
        <w:rPr>
          <w:rFonts w:ascii="Times New Roman" w:hAnsi="Times New Roman" w:cs="Times New Roman"/>
          <w:sz w:val="28"/>
          <w:szCs w:val="28"/>
        </w:rPr>
        <w:t>.</w:t>
      </w:r>
      <w:r w:rsidR="00CC02BC">
        <w:rPr>
          <w:rFonts w:ascii="Times New Roman" w:hAnsi="Times New Roman" w:cs="Times New Roman"/>
          <w:sz w:val="28"/>
          <w:szCs w:val="28"/>
        </w:rPr>
        <w:t>11</w:t>
      </w:r>
      <w:r w:rsidR="00CA1039" w:rsidRPr="00CA1039">
        <w:rPr>
          <w:rFonts w:ascii="Times New Roman" w:hAnsi="Times New Roman" w:cs="Times New Roman"/>
          <w:sz w:val="28"/>
          <w:szCs w:val="28"/>
        </w:rPr>
        <w:t xml:space="preserve">.2018 </w:t>
      </w:r>
      <w:r w:rsidR="00EA6E63" w:rsidRPr="00EB3120">
        <w:rPr>
          <w:rFonts w:ascii="Times New Roman" w:hAnsi="Times New Roman" w:cs="Times New Roman"/>
          <w:sz w:val="28"/>
          <w:szCs w:val="28"/>
        </w:rPr>
        <w:t>№</w:t>
      </w:r>
      <w:r w:rsidR="00CA1039" w:rsidRPr="00EB3120">
        <w:rPr>
          <w:rFonts w:ascii="Times New Roman" w:hAnsi="Times New Roman" w:cs="Times New Roman"/>
          <w:sz w:val="28"/>
          <w:szCs w:val="28"/>
        </w:rPr>
        <w:t xml:space="preserve"> </w:t>
      </w:r>
      <w:r w:rsidR="00CC02BC" w:rsidRPr="00EB3120">
        <w:rPr>
          <w:rFonts w:ascii="Times New Roman" w:hAnsi="Times New Roman" w:cs="Times New Roman"/>
          <w:sz w:val="28"/>
          <w:szCs w:val="28"/>
        </w:rPr>
        <w:t>43</w:t>
      </w:r>
      <w:r w:rsidR="00CA1039" w:rsidRPr="00EB3120">
        <w:rPr>
          <w:rFonts w:ascii="Times New Roman" w:hAnsi="Times New Roman" w:cs="Times New Roman"/>
          <w:sz w:val="28"/>
          <w:szCs w:val="28"/>
        </w:rPr>
        <w:t>/О</w:t>
      </w:r>
      <w:r w:rsidR="00A97629" w:rsidRPr="00CA1039">
        <w:rPr>
          <w:rFonts w:ascii="Times New Roman" w:hAnsi="Times New Roman" w:cs="Times New Roman"/>
          <w:sz w:val="28"/>
          <w:szCs w:val="28"/>
        </w:rPr>
        <w:t>)</w:t>
      </w:r>
    </w:p>
    <w:p w:rsidR="00167EB3" w:rsidRPr="007F6276" w:rsidRDefault="00167EB3" w:rsidP="00EA6E63">
      <w:pPr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EA6E63">
      <w:pPr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20160C" w:rsidRDefault="0020160C" w:rsidP="00167EB3">
      <w:pPr>
        <w:widowControl w:val="0"/>
        <w:autoSpaceDE w:val="0"/>
        <w:autoSpaceDN w:val="0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7F6276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167EB3" w:rsidRPr="007F6276" w:rsidRDefault="00A97629" w:rsidP="00167EB3">
      <w:pPr>
        <w:widowControl w:val="0"/>
        <w:autoSpaceDE w:val="0"/>
        <w:autoSpaceDN w:val="0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EB3" w:rsidRPr="00CA1039">
        <w:rPr>
          <w:rFonts w:ascii="Times New Roman" w:hAnsi="Times New Roman" w:cs="Times New Roman"/>
          <w:sz w:val="28"/>
          <w:szCs w:val="28"/>
        </w:rPr>
        <w:t>«</w:t>
      </w:r>
      <w:r w:rsidRPr="00CA1039">
        <w:rPr>
          <w:rFonts w:ascii="Times New Roman" w:hAnsi="Times New Roman" w:cs="Times New Roman"/>
          <w:sz w:val="28"/>
          <w:szCs w:val="28"/>
        </w:rPr>
        <w:t>0</w:t>
      </w:r>
      <w:r w:rsidR="00CA1039" w:rsidRPr="00CA1039">
        <w:rPr>
          <w:rFonts w:ascii="Times New Roman" w:hAnsi="Times New Roman" w:cs="Times New Roman"/>
          <w:sz w:val="28"/>
          <w:szCs w:val="28"/>
        </w:rPr>
        <w:t>1</w:t>
      </w:r>
      <w:r w:rsidR="00167EB3" w:rsidRPr="00CA1039">
        <w:rPr>
          <w:rFonts w:ascii="Times New Roman" w:hAnsi="Times New Roman" w:cs="Times New Roman"/>
          <w:sz w:val="28"/>
          <w:szCs w:val="28"/>
        </w:rPr>
        <w:t>»</w:t>
      </w:r>
      <w:r w:rsidR="00167EB3" w:rsidRPr="007F6276">
        <w:rPr>
          <w:rFonts w:ascii="Times New Roman" w:hAnsi="Times New Roman" w:cs="Times New Roman"/>
          <w:sz w:val="28"/>
          <w:szCs w:val="28"/>
        </w:rPr>
        <w:t xml:space="preserve"> </w:t>
      </w:r>
      <w:r w:rsidR="00CC02BC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167EB3" w:rsidRPr="007F6276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167EB3" w:rsidRPr="007F6276" w:rsidRDefault="00167EB3" w:rsidP="00167EB3">
      <w:pPr>
        <w:widowControl w:val="0"/>
        <w:autoSpaceDE w:val="0"/>
        <w:autoSpaceDN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EB3" w:rsidRDefault="00167EB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6E63" w:rsidRDefault="00EA6E6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6E63" w:rsidRDefault="00EA6E6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6E63" w:rsidRDefault="00EA6E6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7EB3" w:rsidRDefault="00167EB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7EB3" w:rsidRPr="007F6276" w:rsidRDefault="00167EB3" w:rsidP="00167EB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F1A3B" w:rsidRDefault="00A97629" w:rsidP="004F1A3B">
      <w:pPr>
        <w:widowControl w:val="0"/>
        <w:autoSpaceDE w:val="0"/>
        <w:autoSpaceDN w:val="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Печора</w:t>
      </w:r>
    </w:p>
    <w:p w:rsidR="004F1A3B" w:rsidRDefault="00167EB3" w:rsidP="004F1A3B">
      <w:pPr>
        <w:widowControl w:val="0"/>
        <w:autoSpaceDE w:val="0"/>
        <w:autoSpaceDN w:val="0"/>
        <w:spacing w:before="0"/>
        <w:jc w:val="center"/>
        <w:rPr>
          <w:rFonts w:ascii="Times New Roman" w:hAnsi="Times New Roman" w:cs="Times New Roman"/>
          <w:sz w:val="28"/>
          <w:szCs w:val="28"/>
        </w:rPr>
        <w:sectPr w:rsidR="004F1A3B" w:rsidSect="004F1A3B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284" w:left="1560" w:header="709" w:footer="709" w:gutter="0"/>
          <w:cols w:space="708"/>
          <w:titlePg/>
          <w:docGrid w:linePitch="360"/>
        </w:sectPr>
      </w:pPr>
      <w:r w:rsidRPr="007F6276">
        <w:rPr>
          <w:rFonts w:ascii="Times New Roman" w:hAnsi="Times New Roman" w:cs="Times New Roman"/>
          <w:sz w:val="28"/>
          <w:szCs w:val="28"/>
        </w:rPr>
        <w:t>201</w:t>
      </w:r>
      <w:r w:rsidR="00A97629">
        <w:rPr>
          <w:rFonts w:ascii="Times New Roman" w:hAnsi="Times New Roman" w:cs="Times New Roman"/>
          <w:sz w:val="28"/>
          <w:szCs w:val="28"/>
        </w:rPr>
        <w:t>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3235199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E170E7" w:rsidRPr="00EB3120" w:rsidRDefault="00E170E7" w:rsidP="00C56F3C">
          <w:pPr>
            <w:pStyle w:val="af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B3120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Содержание</w:t>
          </w:r>
        </w:p>
        <w:p w:rsidR="004F1A3B" w:rsidRPr="00EB3120" w:rsidRDefault="00516948">
          <w:pPr>
            <w:pStyle w:val="21"/>
            <w:tabs>
              <w:tab w:val="right" w:leader="dot" w:pos="94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B312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E170E7" w:rsidRPr="00EB312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EB3120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28759875" w:history="1">
            <w:r w:rsidR="004F1A3B" w:rsidRPr="00EB3120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_Toc528759875 \h </w:instrText>
            </w:r>
            <w:r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61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1A3B" w:rsidRPr="00EB3120" w:rsidRDefault="00B51B57">
          <w:pPr>
            <w:pStyle w:val="21"/>
            <w:tabs>
              <w:tab w:val="right" w:leader="dot" w:pos="94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8759876" w:history="1">
            <w:r w:rsidR="004F1A3B" w:rsidRPr="00EB3120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 Общая характеристика финансово – экономической экспертизы проектов муниципальных программ</w:t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_Toc528759876 \h </w:instrTex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61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1A3B" w:rsidRPr="00EB3120" w:rsidRDefault="00B51B57">
          <w:pPr>
            <w:pStyle w:val="21"/>
            <w:tabs>
              <w:tab w:val="right" w:leader="dot" w:pos="94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8759877" w:history="1">
            <w:r w:rsidR="004F1A3B" w:rsidRPr="00EB3120">
              <w:rPr>
                <w:rStyle w:val="af0"/>
                <w:rFonts w:ascii="Times New Roman" w:hAnsi="Times New Roman" w:cs="Times New Roman"/>
                <w:smallCaps/>
                <w:noProof/>
                <w:spacing w:val="5"/>
                <w:sz w:val="24"/>
                <w:szCs w:val="24"/>
              </w:rPr>
              <w:t>3.</w:t>
            </w:r>
            <w:r w:rsidR="004F1A3B" w:rsidRPr="00EB3120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Организация проведения финансово-экономической экспертизы муниципальных программ</w:t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_Toc528759877 \h </w:instrTex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61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1A3B" w:rsidRPr="00EB3120" w:rsidRDefault="00B51B57">
          <w:pPr>
            <w:pStyle w:val="21"/>
            <w:tabs>
              <w:tab w:val="right" w:leader="dot" w:pos="94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8759878" w:history="1">
            <w:r w:rsidR="004F1A3B" w:rsidRPr="00EB3120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4. Общая характеристика аудита эффективности муниципальных программ</w:t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_Toc528759878 \h </w:instrTex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61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1A3B" w:rsidRPr="00EB3120" w:rsidRDefault="00B51B57">
          <w:pPr>
            <w:pStyle w:val="21"/>
            <w:tabs>
              <w:tab w:val="right" w:leader="dot" w:pos="94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28759879" w:history="1">
            <w:r w:rsidR="004F1A3B" w:rsidRPr="00EB3120">
              <w:rPr>
                <w:rStyle w:val="af0"/>
                <w:rFonts w:ascii="Times New Roman" w:hAnsi="Times New Roman" w:cs="Times New Roman"/>
                <w:smallCaps/>
                <w:noProof/>
                <w:spacing w:val="5"/>
                <w:sz w:val="24"/>
                <w:szCs w:val="24"/>
              </w:rPr>
              <w:t xml:space="preserve">5. </w:t>
            </w:r>
            <w:r w:rsidR="004F1A3B" w:rsidRPr="00EB3120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Организация проведения аудита эффективности муниципальных программ</w:t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F1A3B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_Toc528759879 \h </w:instrTex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B61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16948" w:rsidRPr="00EB312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170E7" w:rsidRPr="001B5794" w:rsidRDefault="00516948" w:rsidP="00C56F3C">
          <w:pPr>
            <w:jc w:val="both"/>
            <w:rPr>
              <w:rFonts w:ascii="Times New Roman" w:hAnsi="Times New Roman" w:cs="Times New Roman"/>
            </w:rPr>
          </w:pPr>
          <w:r w:rsidRPr="00EB3120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4F1A3B" w:rsidRDefault="00553054">
      <w:pPr>
        <w:rPr>
          <w:rFonts w:ascii="Times New Roman" w:hAnsi="Times New Roman" w:cs="Times New Roman"/>
          <w:color w:val="000000" w:themeColor="text1"/>
        </w:rPr>
        <w:sectPr w:rsidR="004F1A3B" w:rsidSect="004F1A3B">
          <w:pgSz w:w="11906" w:h="16838"/>
          <w:pgMar w:top="1134" w:right="851" w:bottom="284" w:left="1560" w:header="709" w:footer="709" w:gutter="0"/>
          <w:cols w:space="708"/>
          <w:docGrid w:linePitch="360"/>
        </w:sectPr>
      </w:pPr>
      <w:r w:rsidRPr="001B5794">
        <w:rPr>
          <w:rFonts w:ascii="Times New Roman" w:hAnsi="Times New Roman" w:cs="Times New Roman"/>
          <w:color w:val="000000" w:themeColor="text1"/>
        </w:rPr>
        <w:br w:type="page"/>
      </w:r>
    </w:p>
    <w:p w:rsidR="00620D43" w:rsidRPr="00824BA8" w:rsidRDefault="00553054" w:rsidP="00824BA8">
      <w:pPr>
        <w:pStyle w:val="15"/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bookmarkStart w:id="1" w:name="_Toc528759875"/>
      <w:r w:rsidRPr="00824BA8">
        <w:rPr>
          <w:rFonts w:cs="Times New Roman"/>
          <w:color w:val="000000" w:themeColor="text1"/>
          <w:sz w:val="24"/>
          <w:szCs w:val="24"/>
        </w:rPr>
        <w:lastRenderedPageBreak/>
        <w:t xml:space="preserve">1. </w:t>
      </w:r>
      <w:r w:rsidR="00620D43" w:rsidRPr="00824BA8">
        <w:rPr>
          <w:rFonts w:cs="Times New Roman"/>
          <w:color w:val="000000" w:themeColor="text1"/>
          <w:sz w:val="24"/>
          <w:szCs w:val="24"/>
        </w:rPr>
        <w:t>Общие положения</w:t>
      </w:r>
      <w:bookmarkEnd w:id="1"/>
    </w:p>
    <w:p w:rsidR="00653F8C" w:rsidRPr="00824BA8" w:rsidRDefault="00F048B9" w:rsidP="00824BA8">
      <w:p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</w:t>
      </w:r>
      <w:r w:rsid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20D4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 </w:t>
      </w:r>
      <w:r w:rsidR="00DC52A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внешнего 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DC52A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D4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 «</w:t>
      </w:r>
      <w:r w:rsidR="00B3086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 – экономическая э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кспертиза</w:t>
      </w:r>
      <w:r w:rsidR="00B30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проведение аудита эффективности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C267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«Печора» </w:t>
      </w:r>
      <w:r w:rsidR="00620D4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Стандарт) </w:t>
      </w:r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 в соответствии 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Бюджетным</w:t>
      </w:r>
      <w:r w:rsidR="00340302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кодексом Российской Федерации,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ом от 7 февраля 2011 г</w:t>
      </w:r>
      <w:r w:rsidR="002F796B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6-ФЗ</w:t>
      </w:r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</w:t>
      </w:r>
      <w:r w:rsidR="002F796B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и и муниципальных образований»,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10 Положения о Контрольно-счетной комиссии муниципального района «Печора», </w:t>
      </w:r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Общими требованиями</w:t>
      </w:r>
      <w:proofErr w:type="gramEnd"/>
      <w:r w:rsidR="005077C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стандартам внешнего государственного и муниципального финансового контроля</w:t>
      </w:r>
      <w:r w:rsidR="0001721D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7B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(993)),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834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 Контрольно-</w:t>
      </w:r>
      <w:r w:rsidR="008C756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счетной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</w:t>
      </w:r>
      <w:r w:rsidR="008C756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«Печора»</w:t>
      </w:r>
      <w:r w:rsidR="008C756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48B9" w:rsidRPr="00824BA8" w:rsidRDefault="00F048B9" w:rsidP="00824BA8">
      <w:pPr>
        <w:tabs>
          <w:tab w:val="left" w:pos="993"/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="007A4A47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 не распространяются на проведение экспертизы проектов отчета об исполнении бюджета МО МР «Печора», проектов бюджета на очередной финансовый год и плановый период, проектов муниципальных правовых актов МР «Печора», подготовка которых регулируется отдельными стандартами и иными внутренними нормативными документами Контрольно-счетной комиссии.</w:t>
      </w:r>
    </w:p>
    <w:p w:rsidR="007A4A47" w:rsidRPr="00824BA8" w:rsidRDefault="00F048B9" w:rsidP="00824BA8">
      <w:pPr>
        <w:tabs>
          <w:tab w:val="left" w:pos="1276"/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D4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Стандарта является установление общих </w:t>
      </w:r>
      <w:r w:rsidR="001F00D2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</w:t>
      </w:r>
      <w:r w:rsidR="00883CF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процедур </w:t>
      </w:r>
      <w:r w:rsidR="001F00D2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Контрольно-счетной </w:t>
      </w:r>
      <w:r w:rsidR="007A4A4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 муниципального района «Печора»</w:t>
      </w:r>
      <w:r w:rsidR="00C93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 – экономической 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725">
        <w:rPr>
          <w:rFonts w:ascii="Times New Roman" w:hAnsi="Times New Roman" w:cs="Times New Roman"/>
          <w:color w:val="000000" w:themeColor="text1"/>
          <w:sz w:val="24"/>
          <w:szCs w:val="24"/>
        </w:rPr>
        <w:t>и а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>удита эффективности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A4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6F047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r w:rsidR="007A4A4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МР «Печора»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0D2" w:rsidRPr="00824BA8" w:rsidRDefault="007A4A47" w:rsidP="00824BA8">
      <w:pPr>
        <w:tabs>
          <w:tab w:val="left" w:pos="1134"/>
          <w:tab w:val="left" w:pos="1276"/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F00D2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Задачами Стандарта являются:</w:t>
      </w:r>
    </w:p>
    <w:p w:rsidR="00BC7F37" w:rsidRPr="00824BA8" w:rsidRDefault="00824BA8" w:rsidP="00824BA8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F3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содержания, принципов и процедур проведения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C02A76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1E28E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аудита </w:t>
      </w:r>
      <w:r w:rsidR="001E28E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программ</w:t>
      </w:r>
      <w:r w:rsidR="00BC7F3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0C06" w:rsidRPr="00824BA8" w:rsidRDefault="00BC7F37" w:rsidP="00824BA8">
      <w:pPr>
        <w:tabs>
          <w:tab w:val="left" w:pos="1276"/>
          <w:tab w:val="left" w:pos="156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установление общих требований к организации, подготовке, проведению и оформлению результатов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C02A76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аудита</w:t>
      </w:r>
      <w:r w:rsidR="001E28E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программ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0D43" w:rsidRPr="00824BA8" w:rsidRDefault="00553054" w:rsidP="00824BA8">
      <w:pPr>
        <w:pStyle w:val="15"/>
        <w:spacing w:line="240" w:lineRule="auto"/>
        <w:ind w:firstLine="709"/>
        <w:rPr>
          <w:rStyle w:val="af4"/>
          <w:rFonts w:cs="Times New Roman"/>
          <w:smallCaps w:val="0"/>
          <w:color w:val="000000" w:themeColor="text1"/>
          <w:spacing w:val="0"/>
          <w:sz w:val="24"/>
          <w:szCs w:val="24"/>
        </w:rPr>
      </w:pPr>
      <w:bookmarkStart w:id="2" w:name="_Toc528759876"/>
      <w:r w:rsidRPr="00824BA8">
        <w:rPr>
          <w:rStyle w:val="af4"/>
          <w:rFonts w:cs="Times New Roman"/>
          <w:b/>
          <w:smallCaps w:val="0"/>
          <w:color w:val="000000" w:themeColor="text1"/>
          <w:spacing w:val="0"/>
          <w:sz w:val="24"/>
          <w:szCs w:val="24"/>
        </w:rPr>
        <w:t>2.</w:t>
      </w:r>
      <w:r w:rsidRPr="00824BA8">
        <w:rPr>
          <w:rFonts w:cs="Times New Roman"/>
          <w:color w:val="000000" w:themeColor="text1"/>
          <w:sz w:val="24"/>
          <w:szCs w:val="24"/>
        </w:rPr>
        <w:t xml:space="preserve"> Общ</w:t>
      </w:r>
      <w:r w:rsidR="00401FBD">
        <w:rPr>
          <w:rFonts w:cs="Times New Roman"/>
          <w:color w:val="000000" w:themeColor="text1"/>
          <w:sz w:val="24"/>
          <w:szCs w:val="24"/>
        </w:rPr>
        <w:t>ая</w:t>
      </w:r>
      <w:r w:rsidRPr="00824BA8">
        <w:rPr>
          <w:rFonts w:cs="Times New Roman"/>
          <w:color w:val="000000" w:themeColor="text1"/>
          <w:sz w:val="24"/>
          <w:szCs w:val="24"/>
        </w:rPr>
        <w:t xml:space="preserve"> </w:t>
      </w:r>
      <w:r w:rsidR="00401FBD">
        <w:rPr>
          <w:rFonts w:cs="Times New Roman"/>
          <w:color w:val="000000" w:themeColor="text1"/>
          <w:sz w:val="24"/>
          <w:szCs w:val="24"/>
        </w:rPr>
        <w:t>характеристика</w:t>
      </w:r>
      <w:r w:rsidR="00D871FE" w:rsidRPr="00824BA8">
        <w:rPr>
          <w:rFonts w:cs="Times New Roman"/>
          <w:color w:val="000000" w:themeColor="text1"/>
          <w:sz w:val="24"/>
          <w:szCs w:val="24"/>
        </w:rPr>
        <w:t xml:space="preserve"> </w:t>
      </w:r>
      <w:r w:rsidR="00A5611B">
        <w:rPr>
          <w:rFonts w:cs="Times New Roman"/>
          <w:color w:val="000000" w:themeColor="text1"/>
          <w:sz w:val="24"/>
          <w:szCs w:val="24"/>
        </w:rPr>
        <w:t>финансово –</w:t>
      </w:r>
      <w:r w:rsidR="008E0B1C">
        <w:rPr>
          <w:rFonts w:cs="Times New Roman"/>
          <w:color w:val="000000" w:themeColor="text1"/>
          <w:sz w:val="24"/>
          <w:szCs w:val="24"/>
        </w:rPr>
        <w:t xml:space="preserve"> </w:t>
      </w:r>
      <w:r w:rsidR="00A5611B">
        <w:rPr>
          <w:rFonts w:cs="Times New Roman"/>
          <w:color w:val="000000" w:themeColor="text1"/>
          <w:sz w:val="24"/>
          <w:szCs w:val="24"/>
        </w:rPr>
        <w:t xml:space="preserve">экономической </w:t>
      </w:r>
      <w:r w:rsidRPr="00824BA8">
        <w:rPr>
          <w:rFonts w:cs="Times New Roman"/>
          <w:color w:val="000000" w:themeColor="text1"/>
          <w:sz w:val="24"/>
          <w:szCs w:val="24"/>
        </w:rPr>
        <w:t>экспертизы</w:t>
      </w:r>
      <w:r w:rsidR="00A5611B">
        <w:rPr>
          <w:rFonts w:cs="Times New Roman"/>
          <w:color w:val="000000" w:themeColor="text1"/>
          <w:sz w:val="24"/>
          <w:szCs w:val="24"/>
        </w:rPr>
        <w:t xml:space="preserve"> </w:t>
      </w:r>
      <w:r w:rsidR="00622A08">
        <w:rPr>
          <w:rFonts w:cs="Times New Roman"/>
          <w:color w:val="000000" w:themeColor="text1"/>
          <w:sz w:val="24"/>
          <w:szCs w:val="24"/>
        </w:rPr>
        <w:t xml:space="preserve">проектов </w:t>
      </w:r>
      <w:r w:rsidR="0020160C" w:rsidRPr="00824BA8">
        <w:rPr>
          <w:rFonts w:cs="Times New Roman"/>
          <w:color w:val="000000" w:themeColor="text1"/>
          <w:sz w:val="24"/>
          <w:szCs w:val="24"/>
        </w:rPr>
        <w:t>муниципальных</w:t>
      </w:r>
      <w:r w:rsidRPr="00824BA8">
        <w:rPr>
          <w:rFonts w:cs="Times New Roman"/>
          <w:color w:val="000000" w:themeColor="text1"/>
          <w:sz w:val="24"/>
          <w:szCs w:val="24"/>
        </w:rPr>
        <w:t xml:space="preserve"> программ</w:t>
      </w:r>
      <w:bookmarkEnd w:id="2"/>
    </w:p>
    <w:p w:rsidR="004D5C91" w:rsidRPr="00824BA8" w:rsidRDefault="004D5C91" w:rsidP="00824BA8">
      <w:pPr>
        <w:pStyle w:val="ac"/>
        <w:numPr>
          <w:ilvl w:val="0"/>
          <w:numId w:val="38"/>
        </w:numPr>
        <w:spacing w:before="0" w:line="240" w:lineRule="auto"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:rsidR="004D5C91" w:rsidRPr="00824BA8" w:rsidRDefault="004D5C91" w:rsidP="00824BA8">
      <w:pPr>
        <w:pStyle w:val="ac"/>
        <w:numPr>
          <w:ilvl w:val="0"/>
          <w:numId w:val="38"/>
        </w:numPr>
        <w:spacing w:before="0" w:line="240" w:lineRule="auto"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:rsidR="00A5611B" w:rsidRPr="002F4265" w:rsidRDefault="002F4265" w:rsidP="00D31139">
      <w:pPr>
        <w:pStyle w:val="ac"/>
        <w:numPr>
          <w:ilvl w:val="1"/>
          <w:numId w:val="3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Финансово-экономическая э</w:t>
      </w:r>
      <w:r w:rsidR="003A07CF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>кспертиза</w:t>
      </w:r>
      <w:r w:rsidR="00A5611B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3A07CF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8E3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3A07CF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E19A8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11B" w:rsidRPr="002F4265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экспертно-аналитическим мероприятием, проводимым в рамках предварительного контроля правовых актов.</w:t>
      </w:r>
    </w:p>
    <w:p w:rsidR="00452765" w:rsidRPr="00824BA8" w:rsidRDefault="00045C4B" w:rsidP="00D31139">
      <w:p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</w:t>
      </w:r>
      <w:proofErr w:type="gramStart"/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экспертизы </w:t>
      </w:r>
      <w:r w:rsidR="002A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1E28E3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деятельност</w:t>
      </w:r>
      <w:r w:rsidR="00F83F1B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FA76C7" w:rsidRPr="00FA7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6C7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</w:t>
      </w:r>
      <w:r w:rsidR="00FA76C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CC1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1D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</w:t>
      </w:r>
      <w:r w:rsidR="00CC11DC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CC11D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 соисполнителей и участников реализации муниципальной программы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определенных </w:t>
      </w:r>
      <w:r w:rsidR="00F86611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CC11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6611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</w:t>
      </w:r>
      <w:r w:rsidR="00C9356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86611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«Печора»</w:t>
      </w:r>
      <w:r w:rsidR="002F297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19A8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97C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распространяются контрольные полномочия Контрольно-счетной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МР «Печора»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установленные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22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 о Контрольно-счетной комиссии муниципального района «Печора»</w:t>
      </w:r>
      <w:r w:rsidR="00C935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другими нормативными</w:t>
      </w:r>
      <w:proofErr w:type="gramEnd"/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правовыми актами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«Печора»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9498F" w:rsidRPr="00824BA8" w:rsidRDefault="00045C4B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</w:t>
      </w:r>
      <w:r w:rsidR="004D7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Объектом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59498F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является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содержательное рассмотрение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52765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 </w:t>
      </w:r>
    </w:p>
    <w:p w:rsidR="000057BE" w:rsidRPr="00824BA8" w:rsidRDefault="00620D43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771305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D7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57BE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0057BE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</w:t>
      </w:r>
      <w:r w:rsidR="002A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0057BE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0057BE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является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полномочий по установлению/изменению расходного обязательства, подтверждение обоснованности размера расходного обязательства,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установление экономических последствий принятия нового/изменения действующего расходного обязательства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4D726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муниципального района</w:t>
      </w:r>
      <w:r w:rsidR="002F42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7BE" w:rsidRDefault="000057BE" w:rsidP="00D31139">
      <w:pPr>
        <w:tabs>
          <w:tab w:val="left" w:pos="1134"/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2.5. </w:t>
      </w:r>
      <w:r w:rsid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задачами </w:t>
      </w:r>
      <w:r w:rsidR="00622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финансово-экономической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экспертизы </w:t>
      </w:r>
      <w:r w:rsidR="002A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AF2B1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являются:</w:t>
      </w:r>
    </w:p>
    <w:p w:rsidR="002F4265" w:rsidRPr="002F4265" w:rsidRDefault="002F4265" w:rsidP="002F4265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265">
        <w:rPr>
          <w:rFonts w:ascii="Times New Roman" w:eastAsia="Calibri" w:hAnsi="Times New Roman" w:cs="Times New Roman"/>
          <w:sz w:val="24"/>
          <w:szCs w:val="24"/>
        </w:rPr>
        <w:t>соответствия положений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нормам законов и иных нормативных правовых актов;</w:t>
      </w:r>
    </w:p>
    <w:p w:rsidR="002F4265" w:rsidRPr="002F4265" w:rsidRDefault="002F4265" w:rsidP="002F4265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265">
        <w:rPr>
          <w:rFonts w:ascii="Times New Roman" w:eastAsia="Calibri" w:hAnsi="Times New Roman" w:cs="Times New Roman"/>
          <w:sz w:val="24"/>
          <w:szCs w:val="24"/>
        </w:rPr>
        <w:t>полноты анализа предметной ситуац</w:t>
      </w:r>
      <w:proofErr w:type="gramStart"/>
      <w:r w:rsidRPr="002F426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факторов;</w:t>
      </w:r>
    </w:p>
    <w:p w:rsidR="002F4265" w:rsidRPr="002F4265" w:rsidRDefault="002F4265" w:rsidP="002F4265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265">
        <w:rPr>
          <w:rFonts w:ascii="Times New Roman" w:eastAsia="Calibri" w:hAnsi="Times New Roman" w:cs="Times New Roman"/>
          <w:sz w:val="24"/>
          <w:szCs w:val="24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2F4265" w:rsidRPr="002F4265" w:rsidRDefault="002F4265" w:rsidP="002F4265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целостности и связанности задач муниципальной программы и мероприятий по их выполнению;</w:t>
      </w:r>
    </w:p>
    <w:p w:rsidR="002F4265" w:rsidRPr="002F4265" w:rsidRDefault="002F4265" w:rsidP="002F4265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обоснованности заявленных финансовых потребностей муниципальной программы.</w:t>
      </w:r>
    </w:p>
    <w:p w:rsidR="002F4265" w:rsidRPr="002F4265" w:rsidRDefault="000057BE" w:rsidP="00622A08">
      <w:pPr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2.6.</w:t>
      </w:r>
      <w:r w:rsidR="00824BA8" w:rsidRPr="002F4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4265" w:rsidRPr="002F4265">
        <w:rPr>
          <w:rFonts w:ascii="Times New Roman" w:eastAsia="Calibri" w:hAnsi="Times New Roman" w:cs="Times New Roman"/>
          <w:sz w:val="24"/>
          <w:szCs w:val="24"/>
        </w:rPr>
        <w:t xml:space="preserve">Финансово-экономической экспертизе подлежат муниципальные программы,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Контрольно-счетную </w:t>
      </w:r>
      <w:r w:rsidR="002F4265">
        <w:rPr>
          <w:rFonts w:ascii="Times New Roman" w:eastAsia="Calibri" w:hAnsi="Times New Roman" w:cs="Times New Roman"/>
          <w:sz w:val="24"/>
          <w:szCs w:val="24"/>
        </w:rPr>
        <w:t>комиссию</w:t>
      </w:r>
      <w:r w:rsidR="002F4265" w:rsidRPr="002F4265">
        <w:rPr>
          <w:rFonts w:ascii="Times New Roman" w:eastAsia="Calibri" w:hAnsi="Times New Roman" w:cs="Times New Roman"/>
          <w:sz w:val="24"/>
          <w:szCs w:val="24"/>
        </w:rPr>
        <w:t xml:space="preserve"> проекта муниципальной программы (проекта изменений в муниципальную программу) после устранения замечаний и рассмотрения предложений Контрольно-счетной </w:t>
      </w:r>
      <w:r w:rsidR="002F4265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2F4265" w:rsidRPr="002F42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265" w:rsidRPr="002F4265" w:rsidRDefault="002F4265" w:rsidP="00622A08">
      <w:pPr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65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Контрольно-счетную </w:t>
      </w:r>
      <w:r>
        <w:rPr>
          <w:rFonts w:ascii="Times New Roman" w:eastAsia="Calibri" w:hAnsi="Times New Roman" w:cs="Times New Roman"/>
          <w:sz w:val="24"/>
          <w:szCs w:val="24"/>
        </w:rPr>
        <w:t>комиссию</w:t>
      </w:r>
      <w:r w:rsidRPr="002F4265">
        <w:rPr>
          <w:rFonts w:ascii="Times New Roman" w:eastAsia="Calibri" w:hAnsi="Times New Roman" w:cs="Times New Roman"/>
          <w:sz w:val="24"/>
          <w:szCs w:val="24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2F4265" w:rsidRPr="002F4265" w:rsidRDefault="002F4265" w:rsidP="00622A08">
      <w:pPr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65">
        <w:rPr>
          <w:rFonts w:ascii="Times New Roman" w:eastAsia="Calibri" w:hAnsi="Times New Roman" w:cs="Times New Roman"/>
          <w:sz w:val="24"/>
          <w:szCs w:val="24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2F4265" w:rsidRDefault="002F4265" w:rsidP="00622A08">
      <w:pPr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65">
        <w:rPr>
          <w:rFonts w:ascii="Times New Roman" w:eastAsia="Calibri" w:hAnsi="Times New Roman" w:cs="Times New Roman"/>
          <w:sz w:val="24"/>
          <w:szCs w:val="24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404725" w:rsidRPr="00404725" w:rsidRDefault="00404725" w:rsidP="00622A08">
      <w:pPr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25">
        <w:rPr>
          <w:rFonts w:ascii="Times New Roman" w:eastAsia="Calibri" w:hAnsi="Times New Roman" w:cs="Times New Roman"/>
          <w:b/>
          <w:sz w:val="24"/>
          <w:szCs w:val="24"/>
        </w:rPr>
        <w:t>2.8.</w:t>
      </w:r>
      <w:r w:rsidRPr="00404725">
        <w:rPr>
          <w:rFonts w:ascii="Times New Roman" w:eastAsia="Calibri" w:hAnsi="Times New Roman" w:cs="Times New Roman"/>
          <w:sz w:val="24"/>
          <w:szCs w:val="24"/>
        </w:rPr>
        <w:t xml:space="preserve"> Основные термины и понятия:</w:t>
      </w:r>
    </w:p>
    <w:p w:rsidR="00404725" w:rsidRPr="00404725" w:rsidRDefault="00404725" w:rsidP="00622A08">
      <w:pPr>
        <w:widowControl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4725">
        <w:rPr>
          <w:rFonts w:ascii="Times New Roman" w:eastAsia="Calibri" w:hAnsi="Times New Roman" w:cs="Times New Roman"/>
          <w:sz w:val="24"/>
          <w:szCs w:val="24"/>
        </w:rPr>
        <w:t>финансово-экономическая экспертиза</w:t>
      </w:r>
      <w:r w:rsidR="00622A08">
        <w:rPr>
          <w:rFonts w:ascii="Times New Roman" w:eastAsia="Calibri" w:hAnsi="Times New Roman" w:cs="Times New Roman"/>
          <w:sz w:val="24"/>
          <w:szCs w:val="24"/>
        </w:rPr>
        <w:t xml:space="preserve"> проекта</w:t>
      </w:r>
      <w:r w:rsidRPr="0040472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– экспертно-аналитическое мероприятие, представляющее собой оценку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404725" w:rsidRPr="00404725" w:rsidRDefault="00404725" w:rsidP="00622A08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725">
        <w:rPr>
          <w:rFonts w:ascii="Times New Roman" w:hAnsi="Times New Roman" w:cs="Times New Roman"/>
          <w:sz w:val="24"/>
          <w:szCs w:val="24"/>
        </w:rPr>
        <w:t xml:space="preserve">целевые индикаторы – показатели, установленные программой, для </w:t>
      </w:r>
      <w:r w:rsidRPr="00404725">
        <w:rPr>
          <w:rFonts w:ascii="Times New Roman" w:eastAsia="Calibri" w:hAnsi="Times New Roman" w:cs="Times New Roman"/>
          <w:sz w:val="24"/>
          <w:szCs w:val="24"/>
        </w:rPr>
        <w:t>оценки степени достижения поставленных программой целей и задач.</w:t>
      </w:r>
    </w:p>
    <w:p w:rsidR="00903E63" w:rsidRPr="00824BA8" w:rsidRDefault="00C3552F" w:rsidP="00401FBD">
      <w:pPr>
        <w:pStyle w:val="15"/>
        <w:tabs>
          <w:tab w:val="left" w:pos="1276"/>
        </w:tabs>
        <w:spacing w:line="240" w:lineRule="auto"/>
        <w:ind w:firstLine="709"/>
        <w:rPr>
          <w:rStyle w:val="af4"/>
          <w:rFonts w:cs="Times New Roman"/>
          <w:color w:val="000000" w:themeColor="text1"/>
          <w:sz w:val="24"/>
          <w:szCs w:val="24"/>
        </w:rPr>
      </w:pPr>
      <w:bookmarkStart w:id="3" w:name="_Toc528759877"/>
      <w:r>
        <w:rPr>
          <w:rStyle w:val="af4"/>
          <w:rFonts w:cs="Times New Roman"/>
          <w:b/>
          <w:color w:val="000000" w:themeColor="text1"/>
          <w:sz w:val="24"/>
          <w:szCs w:val="24"/>
        </w:rPr>
        <w:t>3</w:t>
      </w:r>
      <w:r w:rsidR="00553054" w:rsidRPr="00404725">
        <w:rPr>
          <w:rStyle w:val="af4"/>
          <w:rFonts w:cs="Times New Roman"/>
          <w:b/>
          <w:color w:val="000000" w:themeColor="text1"/>
          <w:sz w:val="24"/>
          <w:szCs w:val="24"/>
        </w:rPr>
        <w:t>.</w:t>
      </w:r>
      <w:r w:rsidR="00553054" w:rsidRPr="00824BA8">
        <w:rPr>
          <w:rFonts w:cs="Times New Roman"/>
          <w:color w:val="000000" w:themeColor="text1"/>
          <w:sz w:val="24"/>
          <w:szCs w:val="24"/>
        </w:rPr>
        <w:t xml:space="preserve">Организация </w:t>
      </w:r>
      <w:r w:rsidR="002F796B" w:rsidRPr="00824BA8">
        <w:rPr>
          <w:rFonts w:cs="Times New Roman"/>
          <w:color w:val="000000" w:themeColor="text1"/>
          <w:sz w:val="24"/>
          <w:szCs w:val="24"/>
        </w:rPr>
        <w:t>проведения</w:t>
      </w:r>
      <w:r w:rsidR="001E28E3" w:rsidRPr="00824BA8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финансово-экономической </w:t>
      </w:r>
      <w:r w:rsidR="00553054" w:rsidRPr="00824BA8">
        <w:rPr>
          <w:rFonts w:cs="Times New Roman"/>
          <w:color w:val="000000" w:themeColor="text1"/>
          <w:sz w:val="24"/>
          <w:szCs w:val="24"/>
        </w:rPr>
        <w:t xml:space="preserve">экспертизы </w:t>
      </w:r>
      <w:r w:rsidR="0001721D" w:rsidRPr="00824BA8">
        <w:rPr>
          <w:rFonts w:cs="Times New Roman"/>
          <w:color w:val="000000" w:themeColor="text1"/>
          <w:sz w:val="24"/>
          <w:szCs w:val="24"/>
        </w:rPr>
        <w:t>муниципальных</w:t>
      </w:r>
      <w:r w:rsidR="00553054" w:rsidRPr="00824BA8">
        <w:rPr>
          <w:rFonts w:cs="Times New Roman"/>
          <w:color w:val="000000" w:themeColor="text1"/>
          <w:sz w:val="24"/>
          <w:szCs w:val="24"/>
        </w:rPr>
        <w:t xml:space="preserve"> программ</w:t>
      </w:r>
      <w:bookmarkEnd w:id="3"/>
    </w:p>
    <w:p w:rsidR="00320610" w:rsidRPr="00320610" w:rsidRDefault="00720625" w:rsidP="00D31139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 При проведении </w:t>
      </w:r>
      <w:r w:rsidR="007B3800" w:rsidRPr="007B3800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финансово-экономической </w:t>
      </w:r>
      <w:r w:rsidR="00320610" w:rsidRPr="007B3800">
        <w:rPr>
          <w:rFonts w:ascii="Times New Roman" w:eastAsia="Calibri" w:hAnsi="Times New Roman" w:cs="Times New Roman"/>
          <w:b/>
          <w:sz w:val="24"/>
          <w:szCs w:val="24"/>
        </w:rPr>
        <w:t>экспертизы</w:t>
      </w:r>
      <w:r w:rsidR="007B3800" w:rsidRPr="007B3800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</w:t>
      </w:r>
      <w:r w:rsidR="00A46FE8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610" w:rsidRPr="00320610" w:rsidRDefault="00720625" w:rsidP="00D31139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 В ходе проведения экспертизы </w:t>
      </w:r>
      <w:r w:rsidR="00320610" w:rsidRPr="0032061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муниципальных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программ подлежат рассмотрению следующие вопросы: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соответствие целей программы поставленной проблеме, соответствие планируемых задач целям программы;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соответствие целей, задач программы Стратегии социально-экономического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 муниципального </w:t>
      </w:r>
      <w:r w:rsidR="00A46FE8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четкость формулировок целей и задач, их конкретность и реальная достижимость </w:t>
      </w:r>
      <w:r w:rsidR="00320610" w:rsidRPr="00320610">
        <w:rPr>
          <w:rFonts w:ascii="Times New Roman" w:eastAsia="Calibri" w:hAnsi="Times New Roman" w:cs="Times New Roman"/>
          <w:bCs/>
          <w:sz w:val="24"/>
          <w:szCs w:val="24"/>
        </w:rPr>
        <w:t>в установленные сроки реализации программы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0610" w:rsidRPr="00320610" w:rsidRDefault="00720625" w:rsidP="00D31139">
      <w:pPr>
        <w:numPr>
          <w:ilvl w:val="0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соответствие программных мероприятий целям и задачам программы;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наличие и обоснованность промежуточных планируемых результатов;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обоснованность объемов финансирования программных мероприятий;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320610" w:rsidRPr="00320610" w:rsidRDefault="00720625" w:rsidP="00D31139">
      <w:pPr>
        <w:widowControl w:val="0"/>
        <w:numPr>
          <w:ilvl w:val="1"/>
          <w:numId w:val="46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обоснованность объемов и механизма привлечения внебюджетных источников финансирования, полноты </w:t>
      </w:r>
      <w:proofErr w:type="gramStart"/>
      <w:r w:rsidR="00320610" w:rsidRPr="00320610">
        <w:rPr>
          <w:rFonts w:ascii="Times New Roman" w:eastAsia="Calibri" w:hAnsi="Times New Roman" w:cs="Times New Roman"/>
          <w:sz w:val="24"/>
          <w:szCs w:val="24"/>
        </w:rPr>
        <w:t>использования возможностей привлечения средств иных бюджетов бюджетной системы Российской</w:t>
      </w:r>
      <w:proofErr w:type="gramEnd"/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 Федерации, а также средств иных источников для реализации муниципальной программы;</w:t>
      </w:r>
    </w:p>
    <w:p w:rsidR="00320610" w:rsidRPr="00320610" w:rsidRDefault="00720625" w:rsidP="00D31139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hAnsi="Times New Roman" w:cs="Times New Roman"/>
          <w:sz w:val="24"/>
          <w:szCs w:val="24"/>
        </w:rPr>
        <w:t>четкая формулировка, простота понимания целевых индикаторов;</w:t>
      </w:r>
    </w:p>
    <w:p w:rsidR="00320610" w:rsidRPr="00320610" w:rsidRDefault="00720625" w:rsidP="00D31139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hAnsi="Times New Roman" w:cs="Times New Roman"/>
          <w:sz w:val="24"/>
          <w:szCs w:val="24"/>
        </w:rPr>
        <w:t>наличие достоверного источника информации или методики расчета целевых индикаторов;</w:t>
      </w:r>
    </w:p>
    <w:p w:rsidR="00320610" w:rsidRPr="00320610" w:rsidRDefault="00720625" w:rsidP="00D31139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hAnsi="Times New Roman" w:cs="Times New Roman"/>
          <w:sz w:val="24"/>
          <w:szCs w:val="24"/>
        </w:rPr>
        <w:t>наличие взаимосвязи между целевыми индикаторами и программными мероприятиями;</w:t>
      </w:r>
    </w:p>
    <w:p w:rsidR="00320610" w:rsidRPr="00320610" w:rsidRDefault="00720625" w:rsidP="00D31139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hAnsi="Times New Roman" w:cs="Times New Roman"/>
          <w:sz w:val="24"/>
          <w:szCs w:val="24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320610" w:rsidRPr="00320610" w:rsidRDefault="00720625" w:rsidP="00D31139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hAnsi="Times New Roman" w:cs="Times New Roman"/>
          <w:sz w:val="24"/>
          <w:szCs w:val="24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320610" w:rsidRPr="00320610" w:rsidRDefault="00720625" w:rsidP="00D31139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 Экспертиза </w:t>
      </w:r>
      <w:r w:rsidR="00320610" w:rsidRPr="00720625">
        <w:rPr>
          <w:rFonts w:ascii="Times New Roman" w:eastAsia="Calibri" w:hAnsi="Times New Roman" w:cs="Times New Roman"/>
          <w:b/>
          <w:sz w:val="24"/>
          <w:szCs w:val="24"/>
        </w:rPr>
        <w:t>проектов об изменении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осуществляется в порядке, определенном для экспертизы муниципальной программы (п. </w:t>
      </w: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)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320610" w:rsidRPr="00320610" w:rsidRDefault="00720625" w:rsidP="00D31139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корректности предлагаемых изменений (отсутствие изменений программы "задним числом");</w:t>
      </w:r>
    </w:p>
    <w:p w:rsidR="00320610" w:rsidRPr="00320610" w:rsidRDefault="00720625" w:rsidP="00D31139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индикаторов и ожидаемых результатов);</w:t>
      </w:r>
    </w:p>
    <w:p w:rsidR="00320610" w:rsidRPr="00320610" w:rsidRDefault="00720625" w:rsidP="00D31139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целесообразности предлагаемых изменений (потенциальная эффективность предлагаемых мер);</w:t>
      </w:r>
    </w:p>
    <w:p w:rsidR="00320610" w:rsidRDefault="00720625" w:rsidP="00D31139">
      <w:pPr>
        <w:widowControl w:val="0"/>
        <w:numPr>
          <w:ilvl w:val="0"/>
          <w:numId w:val="44"/>
        </w:numPr>
        <w:tabs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>устранения или сохранения нарушений и недостатков программы,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отмеченных Контрольно-счетной </w:t>
      </w:r>
      <w:r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="00320610" w:rsidRPr="00320610">
        <w:rPr>
          <w:rFonts w:ascii="Times New Roman" w:eastAsia="Calibri" w:hAnsi="Times New Roman" w:cs="Times New Roman"/>
          <w:sz w:val="24"/>
          <w:szCs w:val="24"/>
        </w:rPr>
        <w:t xml:space="preserve"> ранее по результатам экспертизы проекта программы.</w:t>
      </w:r>
    </w:p>
    <w:p w:rsidR="00720625" w:rsidRPr="00720625" w:rsidRDefault="00720625" w:rsidP="00A46FE8">
      <w:pPr>
        <w:widowControl w:val="0"/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hAnsi="Times New Roman" w:cs="Times New Roman"/>
          <w:b/>
          <w:sz w:val="24"/>
          <w:szCs w:val="24"/>
        </w:rPr>
        <w:t>3.4.</w:t>
      </w:r>
      <w:r w:rsidRPr="00720625">
        <w:rPr>
          <w:rFonts w:ascii="Times New Roman" w:hAnsi="Times New Roman" w:cs="Times New Roman"/>
          <w:sz w:val="24"/>
          <w:szCs w:val="24"/>
        </w:rPr>
        <w:t> По результа</w:t>
      </w:r>
      <w:r w:rsidRPr="00720625">
        <w:rPr>
          <w:rFonts w:ascii="Times New Roman" w:eastAsia="Calibri" w:hAnsi="Times New Roman" w:cs="Times New Roman"/>
          <w:sz w:val="24"/>
          <w:szCs w:val="24"/>
        </w:rPr>
        <w:t>там проведени</w:t>
      </w:r>
      <w:r>
        <w:rPr>
          <w:rFonts w:ascii="Times New Roman" w:eastAsia="Calibri" w:hAnsi="Times New Roman" w:cs="Times New Roman"/>
          <w:sz w:val="24"/>
          <w:szCs w:val="24"/>
        </w:rPr>
        <w:t>я экспертизы Контрольно-счетной комиссией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составляется </w:t>
      </w:r>
      <w:r w:rsidRPr="00306450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Pr="00720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625" w:rsidRPr="00720625" w:rsidRDefault="00720625" w:rsidP="00A46FE8">
      <w:pPr>
        <w:widowControl w:val="0"/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2062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sz w:val="24"/>
          <w:szCs w:val="24"/>
        </w:rPr>
        <w:t> Заключение состоит из вводной и содержательной частей.</w:t>
      </w:r>
    </w:p>
    <w:p w:rsidR="00720625" w:rsidRPr="00401FBD" w:rsidRDefault="00720625" w:rsidP="004B42AF">
      <w:pPr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BD">
        <w:rPr>
          <w:rFonts w:ascii="Times New Roman" w:hAnsi="Times New Roman" w:cs="Times New Roman"/>
          <w:b/>
          <w:sz w:val="24"/>
          <w:szCs w:val="24"/>
        </w:rPr>
        <w:t>3.6.</w:t>
      </w:r>
      <w:r w:rsidRPr="00401FBD">
        <w:rPr>
          <w:rFonts w:ascii="Times New Roman" w:hAnsi="Times New Roman" w:cs="Times New Roman"/>
          <w:sz w:val="24"/>
          <w:szCs w:val="24"/>
        </w:rPr>
        <w:t>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также перечисляются основные выводы и предложения.</w:t>
      </w:r>
    </w:p>
    <w:p w:rsidR="00720625" w:rsidRPr="00401FBD" w:rsidRDefault="00720625" w:rsidP="004B42AF">
      <w:pPr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BD">
        <w:rPr>
          <w:rFonts w:ascii="Times New Roman" w:hAnsi="Times New Roman" w:cs="Times New Roman"/>
          <w:b/>
          <w:sz w:val="24"/>
          <w:szCs w:val="24"/>
        </w:rPr>
        <w:t>3.7.</w:t>
      </w:r>
      <w:r w:rsidRPr="00401FBD">
        <w:rPr>
          <w:rFonts w:ascii="Times New Roman" w:hAnsi="Times New Roman" w:cs="Times New Roman"/>
          <w:sz w:val="24"/>
          <w:szCs w:val="24"/>
        </w:rPr>
        <w:t> В содержательной части заключения исследуется муниципальная программа</w:t>
      </w:r>
      <w:r w:rsidR="004B42AF">
        <w:rPr>
          <w:rFonts w:ascii="Times New Roman" w:hAnsi="Times New Roman" w:cs="Times New Roman"/>
          <w:sz w:val="24"/>
          <w:szCs w:val="24"/>
        </w:rPr>
        <w:t xml:space="preserve"> (подпрограмма)</w:t>
      </w:r>
      <w:r w:rsidRPr="00401FBD">
        <w:rPr>
          <w:rFonts w:ascii="Times New Roman" w:hAnsi="Times New Roman" w:cs="Times New Roman"/>
          <w:sz w:val="24"/>
          <w:szCs w:val="24"/>
        </w:rPr>
        <w:t xml:space="preserve">, в том числе объем финансирования с оценкой его обоснованности; соответствие объемов финансирования паспорту программы; целевые показатели с оценкой </w:t>
      </w:r>
      <w:r w:rsidRPr="00401FBD">
        <w:rPr>
          <w:rFonts w:ascii="Times New Roman" w:hAnsi="Times New Roman" w:cs="Times New Roman"/>
          <w:sz w:val="24"/>
          <w:szCs w:val="24"/>
        </w:rPr>
        <w:lastRenderedPageBreak/>
        <w:t>их обоснованности; дается оценка финансовых последствий принимаемых изменений; делаются выводы и даются рекомендации.</w:t>
      </w:r>
    </w:p>
    <w:p w:rsidR="00720625" w:rsidRPr="00720625" w:rsidRDefault="00720625" w:rsidP="004B42AF">
      <w:pPr>
        <w:widowControl w:val="0"/>
        <w:spacing w:before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sz w:val="24"/>
          <w:szCs w:val="24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анализа предметной сферы жизнедеятельности муниципального образования;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определения целей, выбора ожидаемых результатов;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</w:t>
      </w:r>
      <w:r w:rsidR="00A46FE8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определение целевых индикаторов;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распределения задач и мероприятий между соисполнителями муниципальной программы;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20625" w:rsidRPr="00720625" w:rsidRDefault="00720625" w:rsidP="00D31139">
      <w:pPr>
        <w:widowControl w:val="0"/>
        <w:numPr>
          <w:ilvl w:val="1"/>
          <w:numId w:val="47"/>
        </w:numPr>
        <w:tabs>
          <w:tab w:val="clear" w:pos="1069"/>
          <w:tab w:val="left" w:pos="284"/>
        </w:tabs>
        <w:spacing w:before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720625" w:rsidRPr="00720625" w:rsidRDefault="00720625" w:rsidP="00D31139">
      <w:pPr>
        <w:widowControl w:val="0"/>
        <w:tabs>
          <w:tab w:val="left" w:pos="0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sz w:val="24"/>
          <w:szCs w:val="24"/>
        </w:rPr>
        <w:t>Обязательно в содержательной части приводятся данные об общем объеме финансирования программы, а также по годам ее реализации. При рассмотрении проекта изменений действующих муниципальных программ приводятся данные о сумме изменения объемов финансирования.</w:t>
      </w:r>
    </w:p>
    <w:p w:rsidR="00720625" w:rsidRPr="00720625" w:rsidRDefault="00720625" w:rsidP="00D31139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5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F09B0" w:rsidRPr="00B84A5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84A5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sz w:val="24"/>
          <w:szCs w:val="24"/>
        </w:rPr>
        <w:t>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</w:t>
      </w:r>
      <w:r w:rsidR="00B84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части по итогам повторной экспертизы необходимо описать устраненные по рекомендации Контрольно-счетной </w:t>
      </w:r>
      <w:r w:rsidR="00B84A5A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нарушения и недостатки.</w:t>
      </w:r>
    </w:p>
    <w:p w:rsidR="00720625" w:rsidRPr="00720625" w:rsidRDefault="00720625" w:rsidP="00D31139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47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F09B0" w:rsidRPr="00C0247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0247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 При обнаружении в ходе проведения экспертизы </w:t>
      </w:r>
      <w:proofErr w:type="spellStart"/>
      <w:r w:rsidRPr="00720625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факторов в заключени</w:t>
      </w:r>
      <w:proofErr w:type="gramStart"/>
      <w:r w:rsidRPr="0072062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</w:t>
      </w:r>
      <w:r w:rsidR="00B84A5A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A46FE8">
        <w:rPr>
          <w:rFonts w:ascii="Times New Roman" w:eastAsia="Calibri" w:hAnsi="Times New Roman" w:cs="Times New Roman"/>
          <w:sz w:val="24"/>
          <w:szCs w:val="24"/>
        </w:rPr>
        <w:t>и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по итогам экспертизы должна быть отражена соответствующая информация. </w:t>
      </w:r>
      <w:proofErr w:type="spellStart"/>
      <w:r w:rsidRPr="00720625">
        <w:rPr>
          <w:rFonts w:ascii="Times New Roman" w:eastAsia="Calibri" w:hAnsi="Times New Roman" w:cs="Times New Roman"/>
          <w:sz w:val="24"/>
          <w:szCs w:val="24"/>
        </w:rPr>
        <w:t>Коррупциогенные</w:t>
      </w:r>
      <w:proofErr w:type="spellEnd"/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720625" w:rsidRPr="00720625" w:rsidRDefault="00720625" w:rsidP="00D31139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5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F09B0" w:rsidRPr="00B84A5A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84A5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sz w:val="24"/>
          <w:szCs w:val="24"/>
        </w:rPr>
        <w:t>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720625" w:rsidRPr="00720625" w:rsidRDefault="00720625" w:rsidP="00D31139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5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F09B0" w:rsidRPr="00B84A5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B84A5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01FBD">
        <w:rPr>
          <w:rFonts w:ascii="Times New Roman" w:eastAsia="Calibri" w:hAnsi="Times New Roman" w:cs="Times New Roman"/>
          <w:sz w:val="24"/>
          <w:szCs w:val="24"/>
        </w:rPr>
        <w:t xml:space="preserve"> В </w:t>
      </w:r>
      <w:r w:rsidRPr="00720625">
        <w:rPr>
          <w:rFonts w:ascii="Times New Roman" w:eastAsia="Calibri" w:hAnsi="Times New Roman" w:cs="Times New Roman"/>
          <w:sz w:val="24"/>
          <w:szCs w:val="24"/>
        </w:rPr>
        <w:t>заключени</w:t>
      </w:r>
      <w:proofErr w:type="gramStart"/>
      <w:r w:rsidRPr="0072062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</w:t>
      </w:r>
      <w:r w:rsidR="00B84A5A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по итогам финансово-экономической экспертизы не даются рекомендации по утверждению или отклонению представленного проекта. В заключении </w:t>
      </w:r>
      <w:r w:rsidR="001B4248" w:rsidRPr="00D62F14">
        <w:rPr>
          <w:rFonts w:ascii="Times New Roman" w:eastAsia="Calibri" w:hAnsi="Times New Roman" w:cs="Times New Roman"/>
          <w:sz w:val="24"/>
          <w:szCs w:val="24"/>
        </w:rPr>
        <w:t>содержатся выводы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о необходимости рассмотрения разработчиком программы замечаний и предложений, изложенных в заключени</w:t>
      </w:r>
      <w:proofErr w:type="gramStart"/>
      <w:r w:rsidRPr="0072062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20625">
        <w:rPr>
          <w:rFonts w:ascii="Times New Roman" w:eastAsia="Calibri" w:hAnsi="Times New Roman" w:cs="Times New Roman"/>
          <w:sz w:val="24"/>
          <w:szCs w:val="24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720625" w:rsidRPr="00720625" w:rsidRDefault="00720625" w:rsidP="00D31139">
      <w:pPr>
        <w:widowControl w:val="0"/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A5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F09B0" w:rsidRPr="00B84A5A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84A5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 Заключение Контрольно-счетной </w:t>
      </w:r>
      <w:r w:rsidR="00B84A5A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 по итогам финансово-экономической экспертизы муниципальной программы (проекта изменений в муниципальную программу) подписывается председателем Контрольно-счетной </w:t>
      </w:r>
      <w:r w:rsidR="00B84A5A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7206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21835" w:rsidRDefault="0072062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25">
        <w:rPr>
          <w:rFonts w:ascii="Times New Roman" w:eastAsia="Calibri" w:hAnsi="Times New Roman" w:cs="Times New Roman"/>
          <w:sz w:val="24"/>
          <w:szCs w:val="24"/>
        </w:rPr>
        <w:t>Заключение направляется с сопроводительным письмом субъекту правотворческой инициативы</w:t>
      </w:r>
    </w:p>
    <w:p w:rsidR="00921835" w:rsidRPr="00401FBD" w:rsidRDefault="000D0F32" w:rsidP="00401FBD">
      <w:pPr>
        <w:pStyle w:val="15"/>
        <w:rPr>
          <w:color w:val="auto"/>
          <w:sz w:val="24"/>
          <w:szCs w:val="24"/>
        </w:rPr>
      </w:pPr>
      <w:bookmarkStart w:id="4" w:name="_Toc528759878"/>
      <w:r w:rsidRPr="00401FBD">
        <w:rPr>
          <w:color w:val="auto"/>
          <w:sz w:val="24"/>
          <w:szCs w:val="24"/>
        </w:rPr>
        <w:lastRenderedPageBreak/>
        <w:t xml:space="preserve">4. </w:t>
      </w:r>
      <w:r w:rsidR="00401FBD">
        <w:rPr>
          <w:color w:val="auto"/>
          <w:sz w:val="24"/>
          <w:szCs w:val="24"/>
        </w:rPr>
        <w:t>Общая характеристика</w:t>
      </w:r>
      <w:r w:rsidR="00921835" w:rsidRPr="00401FBD">
        <w:rPr>
          <w:color w:val="auto"/>
          <w:sz w:val="24"/>
          <w:szCs w:val="24"/>
        </w:rPr>
        <w:t xml:space="preserve"> аудита эффективности муниципальных программ</w:t>
      </w:r>
      <w:bookmarkEnd w:id="4"/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3A0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 эффективности муниципальных программ проводится в форме контрольного мероприятия,</w:t>
      </w:r>
      <w:r w:rsidR="00EB3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совместно с экспертно-аналитическим мероприятием,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включенн</w:t>
      </w:r>
      <w:r w:rsidR="00EB3120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план работы Контрольно-счетной комиссии.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 эффективности муниципальных программ проводится в целях оценки эффективности использования бюджетных средств, полученных для реализации муниципальных программ, а так же выработке рекомендации по дальнейшим действиям.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Эффективность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бюджетных средств характеризуется соотношением между результатами использования и затратами на их достижение, которое включает определение экономичности, продуктивности и результативности использования средств бюджета.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</w:t>
      </w:r>
      <w:proofErr w:type="gramStart"/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дита эффективности </w:t>
      </w:r>
      <w:r w:rsidR="00C77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устанавливается, насколько экономично, продуктивно и результативно использованы </w:t>
      </w:r>
      <w:r w:rsidRPr="00F90B9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 муниципального района «Печора»</w:t>
      </w:r>
      <w:r w:rsidR="0020613C" w:rsidRPr="00F90B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бюджета Российской Федерации, республиканского бюджета Республики Коми, внебюджетные средства 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 проверки на достижение запланированных муниципальной программой целей, решение поставленных задач, или определяются отдельные из указанных сторон эффективности использования средств</w:t>
      </w:r>
      <w:r w:rsidR="00F364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Экономичность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характеризует взаимосвязь между объемом 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муниципального района «Печора»</w:t>
      </w:r>
      <w:r w:rsidR="00F364E1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B9D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proofErr w:type="gramStart"/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gramEnd"/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угих уровней бюджетов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бюджетной системы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направленных объектом проверки на реализацию муниципальной программы, и достигнутым уровнем результатов с учетом обеспечения их соответствующего качества.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средств бюджета муниципального района</w:t>
      </w:r>
      <w:r w:rsidR="00F364E1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«Печора»,</w:t>
      </w:r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proofErr w:type="gramStart"/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gramEnd"/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угих уровней бюджетов</w:t>
      </w:r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>джетной системы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экономичным, если проверяемый объект достиг заданных результатов с применением их наименьшего объема (абсолютная экономия) или более высоких результатов с использованием заданного объема средств</w:t>
      </w:r>
      <w:r w:rsidR="00F3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>(относительная экономия).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A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Результативность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характеризуется степенью достижения запланированных результатов использования бюджетных средств  или деятельности объектов аудита эффективности и включает в себя определение экономической результативности и социально-экономического эффекта.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объектов, которые выступают в виде конкретных продуктов деятельности (объемы произведенной продукции и оказанных услуг, количество людей, получивших услуги).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Социально-экономический эффект 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средств бюджета муниципального района «Печора»</w:t>
      </w:r>
      <w:r w:rsidR="006679F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2F1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других уровней бюджетов</w:t>
      </w:r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бюджетной системы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на основе анализа степени достижения установленных социально-экономических целей и решения поставленных задач, на которые были </w:t>
      </w:r>
      <w:r w:rsidRPr="006679F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использованы средства.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Предметом аудита эффективности является деятельность органов местного самоуправления, исполнителей,</w:t>
      </w:r>
      <w:r w:rsidR="00667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(соисполнителей) и получателей 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муниципального района «Печора»</w:t>
      </w:r>
      <w:r w:rsidR="006679F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proofErr w:type="gramStart"/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gramEnd"/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угих уровней бюджетов бюджетной системы</w:t>
      </w:r>
      <w:r w:rsidR="0055515B"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реализации муниципальных программ.</w:t>
      </w:r>
    </w:p>
    <w:p w:rsidR="00921835" w:rsidRPr="00921835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4.8.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Объектами аудита эффективности являются разработчики, исполнители (соисполнител</w:t>
      </w:r>
      <w:r w:rsidR="00C77F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получатели 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средств бюджета муниципального района «Печора»</w:t>
      </w:r>
      <w:r w:rsidR="006679F4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proofErr w:type="gramStart"/>
      <w:r w:rsid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gramEnd"/>
      <w:r w:rsidR="0055515B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угих уровней бюджетов бюджетной системы</w:t>
      </w:r>
      <w:r w:rsidR="0055515B"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1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реализации муниципальной программы:</w:t>
      </w:r>
    </w:p>
    <w:p w:rsidR="00D31139" w:rsidRPr="00401FBD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>- органы местного самоуправления;</w:t>
      </w:r>
    </w:p>
    <w:p w:rsidR="00D31139" w:rsidRPr="00401FBD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>- учреждения (казенные, бюджетные, автономные);</w:t>
      </w:r>
    </w:p>
    <w:p w:rsidR="00D31139" w:rsidRPr="00401FBD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>- иные организации, предприятия и учреждения.</w:t>
      </w:r>
    </w:p>
    <w:p w:rsidR="00D31139" w:rsidRPr="00401FBD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4.9.</w:t>
      </w: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выборе объектов аудита эффективности необходимо учитывать объемы средств бюджета муниципального района, направленных объектом на финансирование мероприятий программы.</w:t>
      </w:r>
    </w:p>
    <w:p w:rsidR="00D31139" w:rsidRPr="00401FBD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4.10.</w:t>
      </w: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 эффективности может осуществляться посредством проведения проверки и анализа:</w:t>
      </w:r>
    </w:p>
    <w:p w:rsidR="00D31139" w:rsidRPr="006679F4" w:rsidRDefault="00921835" w:rsidP="00D31139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организации </w:t>
      </w:r>
      <w:r w:rsidRPr="00667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средств</w:t>
      </w:r>
      <w:r w:rsidRPr="006679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1FBD" w:rsidRPr="00401FBD" w:rsidRDefault="00921835" w:rsidP="00401FBD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результатов использования 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средств</w:t>
      </w:r>
      <w:r w:rsidRPr="006679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1835" w:rsidRPr="00921835" w:rsidRDefault="00401FBD" w:rsidP="00401FBD">
      <w:pPr>
        <w:widowControl w:val="0"/>
        <w:tabs>
          <w:tab w:val="left" w:pos="1276"/>
        </w:tabs>
        <w:spacing w:line="240" w:lineRule="auto"/>
        <w:ind w:left="1" w:firstLine="709"/>
        <w:contextualSpacing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21835" w:rsidRPr="00401FBD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проверяемых организаций и учреждений по использованию бюджетных средств</w:t>
      </w:r>
      <w:r w:rsidR="00921835" w:rsidRPr="00921835">
        <w:rPr>
          <w:rFonts w:cs="Times New Roman"/>
          <w:color w:val="000000" w:themeColor="text1"/>
          <w:sz w:val="24"/>
          <w:szCs w:val="24"/>
        </w:rPr>
        <w:t>.</w:t>
      </w:r>
    </w:p>
    <w:p w:rsidR="007B3800" w:rsidRDefault="007B3800" w:rsidP="00D31139">
      <w:pPr>
        <w:pStyle w:val="15"/>
        <w:spacing w:line="240" w:lineRule="auto"/>
        <w:ind w:firstLine="709"/>
        <w:rPr>
          <w:rFonts w:cs="Times New Roman"/>
          <w:color w:val="000000" w:themeColor="text1"/>
          <w:sz w:val="24"/>
          <w:szCs w:val="24"/>
        </w:rPr>
      </w:pPr>
      <w:bookmarkStart w:id="5" w:name="_Toc528759879"/>
      <w:r>
        <w:rPr>
          <w:rStyle w:val="af4"/>
          <w:rFonts w:cs="Times New Roman"/>
          <w:b/>
          <w:color w:val="000000" w:themeColor="text1"/>
          <w:sz w:val="24"/>
          <w:szCs w:val="24"/>
        </w:rPr>
        <w:t>5</w:t>
      </w:r>
      <w:r w:rsidRPr="00404725">
        <w:rPr>
          <w:rStyle w:val="af4"/>
          <w:rFonts w:cs="Times New Roman"/>
          <w:b/>
          <w:color w:val="000000" w:themeColor="text1"/>
          <w:sz w:val="24"/>
          <w:szCs w:val="24"/>
        </w:rPr>
        <w:t>.</w:t>
      </w:r>
      <w:r w:rsidR="00133A8F">
        <w:rPr>
          <w:rStyle w:val="af4"/>
          <w:rFonts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cs="Times New Roman"/>
          <w:color w:val="000000" w:themeColor="text1"/>
          <w:sz w:val="24"/>
          <w:szCs w:val="24"/>
        </w:rPr>
        <w:t xml:space="preserve">Организация проведения </w:t>
      </w:r>
      <w:r>
        <w:rPr>
          <w:rFonts w:cs="Times New Roman"/>
          <w:color w:val="000000" w:themeColor="text1"/>
          <w:sz w:val="24"/>
          <w:szCs w:val="24"/>
        </w:rPr>
        <w:t>аудита эффективности</w:t>
      </w:r>
      <w:r w:rsidRPr="00824BA8">
        <w:rPr>
          <w:rFonts w:cs="Times New Roman"/>
          <w:color w:val="000000" w:themeColor="text1"/>
          <w:sz w:val="24"/>
          <w:szCs w:val="24"/>
        </w:rPr>
        <w:t xml:space="preserve"> муниципальных программ</w:t>
      </w:r>
      <w:bookmarkEnd w:id="5"/>
    </w:p>
    <w:p w:rsidR="007B3800" w:rsidRPr="00824BA8" w:rsidRDefault="00D31139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5.1. 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Аудит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C77F5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C77F5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 использованием:</w:t>
      </w:r>
    </w:p>
    <w:p w:rsidR="007B3800" w:rsidRPr="00824BA8" w:rsidRDefault="007B3800" w:rsidP="00D31139">
      <w:pPr>
        <w:pStyle w:val="ac"/>
        <w:numPr>
          <w:ilvl w:val="0"/>
          <w:numId w:val="1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принятого нормативного правового акта об утверждении муниципальной программы МР «Печора» (в редакции актуальной на момент проведения экспертизы);</w:t>
      </w:r>
    </w:p>
    <w:p w:rsidR="007B3800" w:rsidRPr="00824BA8" w:rsidRDefault="007B3800" w:rsidP="00D31139">
      <w:pPr>
        <w:pStyle w:val="ac"/>
        <w:numPr>
          <w:ilvl w:val="0"/>
          <w:numId w:val="1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действующих нормативных правовых актов, регулирующих вопросы разработки и реализации муниципальных программ в МР «Печора»;</w:t>
      </w:r>
    </w:p>
    <w:p w:rsidR="007B3800" w:rsidRPr="00824BA8" w:rsidRDefault="007B3800" w:rsidP="00D31139">
      <w:pPr>
        <w:pStyle w:val="ac"/>
        <w:numPr>
          <w:ilvl w:val="0"/>
          <w:numId w:val="1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нформации ответственного исполнителя, соисполнителей, участников муниципальной программы, получаемой по запросам Контрольно-счетной комиссии;</w:t>
      </w:r>
    </w:p>
    <w:p w:rsidR="007B3800" w:rsidRPr="00824BA8" w:rsidRDefault="007B3800" w:rsidP="00D31139">
      <w:pPr>
        <w:pStyle w:val="ac"/>
        <w:numPr>
          <w:ilvl w:val="0"/>
          <w:numId w:val="1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годового отчета о ходе реализации и оценке эффективности муниципальной программы;</w:t>
      </w:r>
    </w:p>
    <w:p w:rsidR="007B3800" w:rsidRPr="00824BA8" w:rsidRDefault="007B3800" w:rsidP="00D31139">
      <w:pPr>
        <w:pStyle w:val="ac"/>
        <w:numPr>
          <w:ilvl w:val="0"/>
          <w:numId w:val="1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статистических, аналитических и иных материалов, в том числе представленных в свободном доступе на официальных сайтах органов местного самоуправления.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В ходе осуществления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использоваться данные, полученные в ходе ранее проведенных Контрольно-счетной комиссией контрольных и экспертно-аналитических мероприятий в соответствующей сфере реализации муниципальной программы, а также информация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«Печора».</w:t>
      </w:r>
    </w:p>
    <w:p w:rsidR="007B3800" w:rsidRPr="00824BA8" w:rsidRDefault="00D31139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</w:t>
      </w:r>
      <w:r w:rsidR="007B3800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три этапа – подготовительный, основной и заключительный, каждый из которых характеризуется выполнением определенных задач</w:t>
      </w:r>
      <w:r w:rsidR="007B3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3800" w:rsidRPr="00824BA8" w:rsidRDefault="00D31139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</w:t>
      </w:r>
      <w:r w:rsidR="007B3800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к проведению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последовательное осуществление следующих действий:</w:t>
      </w:r>
    </w:p>
    <w:p w:rsidR="007B3800" w:rsidRPr="00824BA8" w:rsidRDefault="007B3800" w:rsidP="00D31139">
      <w:pPr>
        <w:widowControl w:val="0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распоряжения </w:t>
      </w:r>
      <w:r w:rsidR="00133A8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редседателя Контрольно-счетной комиссии о проведен</w:t>
      </w:r>
      <w:proofErr w:type="gramStart"/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55515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приложения</w:t>
      </w:r>
      <w:r w:rsidR="001B4248" w:rsidRPr="0055515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к</w:t>
      </w:r>
      <w:r w:rsidRPr="0055515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6679F4" w:rsidRPr="0055515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Инструкции о порядке ведения дел в КСК МР «Печора»</w:t>
      </w:r>
      <w:r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программы проведения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48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(при необходимости)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содержащей перечень объектов экспертизы, круг изучаемых вопросов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(по форме приложения к Регламенту КСК МР «Печора»).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proofErr w:type="gramStart"/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проведения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gramEnd"/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приведена в приложении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1B4248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 КСК МР «Печора»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3800" w:rsidRPr="00824BA8" w:rsidRDefault="00D31139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5.4</w:t>
      </w:r>
      <w:r w:rsidR="007B3800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по предмету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необходимости, может быть получена путем направления запросов Контрольно-счетной комиссии о предоставлении соответствующей информации 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форме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риложения к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 КСК МР «Печора»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основного </w:t>
      </w:r>
      <w:proofErr w:type="gramStart"/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этапа проведения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gramEnd"/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сбор и исследование фактических данных и информации по предмету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в ходе подготовки и проведения мероприятия.</w:t>
      </w:r>
    </w:p>
    <w:p w:rsidR="007B3800" w:rsidRPr="00824BA8" w:rsidRDefault="00D31139" w:rsidP="00D31139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5.6</w:t>
      </w:r>
      <w:r w:rsidR="007B3800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Итоговым документом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заключение 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форме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риложения </w:t>
      </w:r>
      <w:r w:rsidR="001B4248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к Регламенту КСК МР «Печора»</w:t>
      </w:r>
      <w:r w:rsidR="007B3800" w:rsidRPr="005551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B3800" w:rsidRPr="00824BA8" w:rsidRDefault="007B3800" w:rsidP="00D31139">
      <w:pPr>
        <w:pStyle w:val="a4"/>
        <w:shd w:val="clear" w:color="auto" w:fill="auto"/>
        <w:tabs>
          <w:tab w:val="left" w:pos="120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Заключение о результатах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содержать следующие данные:</w:t>
      </w:r>
    </w:p>
    <w:p w:rsidR="007B3800" w:rsidRPr="00824BA8" w:rsidRDefault="007B3800" w:rsidP="00D31139">
      <w:pPr>
        <w:pStyle w:val="a4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Исходные данные о мероприятии (основание для проведения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аудита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предмет, объекты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аудита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, исследуемый период, срок проведения);</w:t>
      </w:r>
    </w:p>
    <w:p w:rsidR="007B3800" w:rsidRPr="00824BA8" w:rsidRDefault="007B3800" w:rsidP="00D31139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Выводы, в которых в обобщенной форме отражается итоговая оценка рассмотренных вопросов в соответствии с настоящим Стандартом (утвержденной программой проведения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31139"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 w:rsidR="00D3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1139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D3113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B3800" w:rsidRPr="00824BA8" w:rsidRDefault="007B3800" w:rsidP="00D31139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выводы должны быть объективны и обоснованы соответствующими нормативными правовыми актами, результатами анализа муниципальной программы, статистической и иной информацией.</w:t>
      </w:r>
    </w:p>
    <w:p w:rsidR="007B3800" w:rsidRPr="00824BA8" w:rsidRDefault="007B3800" w:rsidP="00D31139">
      <w:pPr>
        <w:pStyle w:val="a4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Конкретные предложения и рекомендации в адрес органов исполнительной власти МР «Печора», органов местного самоуправления, иных адресатов, основанные на выводах и направленные </w:t>
      </w:r>
      <w:proofErr w:type="gramStart"/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B3800" w:rsidRPr="00824BA8" w:rsidRDefault="007B3800" w:rsidP="00D31139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устранение недостатков, выявленных в нормативно-правовых документах в сфере реализации муниципальной программы;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эффективности реализации муниципальной программы, сокращение неэффективных расходов;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устранение выявленных нарушений и недостатков при реализации муниципальной программы;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своевременной координации действий между всеми участниками муниципальной программы для достижения оптимальных социально значимых эффектов муниципальной программы;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достижению результатов исполнения муниципальных программ МР «Печора»;</w:t>
      </w:r>
    </w:p>
    <w:p w:rsidR="007B3800" w:rsidRPr="00824BA8" w:rsidRDefault="007B3800" w:rsidP="00D31139">
      <w:pPr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муниципальных правовых актов по вопросам формирования и реализации муниципальных программ.</w:t>
      </w:r>
    </w:p>
    <w:p w:rsidR="007B3800" w:rsidRPr="00824BA8" w:rsidRDefault="00D31139" w:rsidP="00D31139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5.7.</w:t>
      </w:r>
      <w:r w:rsidR="007B3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6163" w:rsidRPr="001B616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3800" w:rsidRPr="001B616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«Печора»  в Совет МР «Печора»</w:t>
      </w:r>
      <w:r w:rsidR="001B6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направляется Отчет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Главе муниципального </w:t>
      </w:r>
      <w:proofErr w:type="gramStart"/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района-руководителю</w:t>
      </w:r>
      <w:proofErr w:type="gramEnd"/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1B6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информационное письмо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3800" w:rsidRPr="00824BA8" w:rsidRDefault="00D31139" w:rsidP="00D31139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5.8.</w:t>
      </w:r>
      <w:r w:rsidR="007B3800" w:rsidRPr="0082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3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результатов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>удит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7B3800" w:rsidRPr="00824BA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на основании соответствующего Стандарта Контрольно-счетной комиссии муниципального района «Печора».</w:t>
      </w:r>
    </w:p>
    <w:p w:rsidR="007B3800" w:rsidRPr="00824BA8" w:rsidRDefault="007B3800" w:rsidP="007B3800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B1C" w:rsidRPr="00824BA8" w:rsidRDefault="008E0B1C" w:rsidP="00824BA8">
      <w:pPr>
        <w:pStyle w:val="a4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D67" w:rsidRPr="007A4A47" w:rsidRDefault="00976D67" w:rsidP="00775D15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3F8C" w:rsidRPr="007A4A47" w:rsidRDefault="00BB21E1" w:rsidP="00775D15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</w:pPr>
      <w:r w:rsidRPr="007A4A47">
        <w:rPr>
          <w:rFonts w:ascii="Times New Roman" w:hAnsi="Times New Roman" w:cs="Times New Roman"/>
          <w:sz w:val="26"/>
          <w:szCs w:val="26"/>
        </w:rPr>
        <w:tab/>
      </w:r>
      <w:r w:rsidRPr="007A4A47">
        <w:rPr>
          <w:rFonts w:ascii="Times New Roman" w:hAnsi="Times New Roman" w:cs="Times New Roman"/>
          <w:color w:val="7030A0"/>
          <w:sz w:val="26"/>
          <w:szCs w:val="26"/>
        </w:rPr>
        <w:tab/>
      </w:r>
    </w:p>
    <w:p w:rsidR="00775D15" w:rsidRPr="007A4A47" w:rsidRDefault="00775D15" w:rsidP="00CD37B2">
      <w:pPr>
        <w:pStyle w:val="15"/>
        <w:jc w:val="left"/>
        <w:rPr>
          <w:rFonts w:cs="Times New Roman"/>
          <w:b w:val="0"/>
          <w:bCs w:val="0"/>
          <w:color w:val="000000" w:themeColor="text1"/>
          <w:sz w:val="26"/>
          <w:szCs w:val="26"/>
        </w:rPr>
      </w:pPr>
    </w:p>
    <w:sectPr w:rsidR="00775D15" w:rsidRPr="007A4A47" w:rsidSect="004F1A3B">
      <w:headerReference w:type="default" r:id="rId12"/>
      <w:pgSz w:w="11906" w:h="16838"/>
      <w:pgMar w:top="1134" w:right="851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57" w:rsidRDefault="00B51B57" w:rsidP="00B86C72">
      <w:pPr>
        <w:spacing w:before="0" w:line="240" w:lineRule="auto"/>
      </w:pPr>
      <w:r>
        <w:separator/>
      </w:r>
    </w:p>
  </w:endnote>
  <w:endnote w:type="continuationSeparator" w:id="0">
    <w:p w:rsidR="00B51B57" w:rsidRDefault="00B51B57" w:rsidP="00B86C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1F" w:rsidRDefault="00C1451F" w:rsidP="00DF305C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57" w:rsidRDefault="00B51B57" w:rsidP="00B86C72">
      <w:pPr>
        <w:spacing w:before="0" w:line="240" w:lineRule="auto"/>
      </w:pPr>
      <w:r>
        <w:separator/>
      </w:r>
    </w:p>
  </w:footnote>
  <w:footnote w:type="continuationSeparator" w:id="0">
    <w:p w:rsidR="00B51B57" w:rsidRDefault="00B51B57" w:rsidP="00B86C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3B" w:rsidRDefault="004F1A3B">
    <w:pPr>
      <w:pStyle w:val="a8"/>
      <w:jc w:val="center"/>
    </w:pPr>
  </w:p>
  <w:p w:rsidR="004F1A3B" w:rsidRDefault="004F1A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3776"/>
      <w:docPartObj>
        <w:docPartGallery w:val="Page Numbers (Top of Page)"/>
        <w:docPartUnique/>
      </w:docPartObj>
    </w:sdtPr>
    <w:sdtEndPr/>
    <w:sdtContent>
      <w:p w:rsidR="004F1A3B" w:rsidRDefault="00B51B57">
        <w:pPr>
          <w:pStyle w:val="a8"/>
          <w:jc w:val="center"/>
        </w:pPr>
      </w:p>
    </w:sdtContent>
  </w:sdt>
  <w:p w:rsidR="004F1A3B" w:rsidRDefault="004F1A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3B" w:rsidRDefault="00B51B5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A8A">
      <w:rPr>
        <w:noProof/>
      </w:rPr>
      <w:t>9</w:t>
    </w:r>
    <w:r>
      <w:rPr>
        <w:noProof/>
      </w:rPr>
      <w:fldChar w:fldCharType="end"/>
    </w:r>
  </w:p>
  <w:p w:rsidR="004F1A3B" w:rsidRDefault="004F1A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D4E"/>
    <w:multiLevelType w:val="multilevel"/>
    <w:tmpl w:val="2F0689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BE562E"/>
    <w:multiLevelType w:val="hybridMultilevel"/>
    <w:tmpl w:val="E1C25844"/>
    <w:lvl w:ilvl="0" w:tplc="4C1883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927BF"/>
    <w:multiLevelType w:val="hybridMultilevel"/>
    <w:tmpl w:val="29228C5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3A49B9"/>
    <w:multiLevelType w:val="hybridMultilevel"/>
    <w:tmpl w:val="26F61002"/>
    <w:lvl w:ilvl="0" w:tplc="ABE2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F71"/>
    <w:multiLevelType w:val="hybridMultilevel"/>
    <w:tmpl w:val="0FDCD0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9D7AFC"/>
    <w:multiLevelType w:val="multilevel"/>
    <w:tmpl w:val="2B1A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5053A6"/>
    <w:multiLevelType w:val="multilevel"/>
    <w:tmpl w:val="400A396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7" w:hanging="2160"/>
      </w:pPr>
      <w:rPr>
        <w:rFonts w:hint="default"/>
      </w:rPr>
    </w:lvl>
  </w:abstractNum>
  <w:abstractNum w:abstractNumId="8">
    <w:nsid w:val="1328082A"/>
    <w:multiLevelType w:val="hybridMultilevel"/>
    <w:tmpl w:val="8D6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F1CCB"/>
    <w:multiLevelType w:val="hybridMultilevel"/>
    <w:tmpl w:val="B01A54C0"/>
    <w:lvl w:ilvl="0" w:tplc="ABE28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D5593A"/>
    <w:multiLevelType w:val="multilevel"/>
    <w:tmpl w:val="2B1A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3953CF0"/>
    <w:multiLevelType w:val="hybridMultilevel"/>
    <w:tmpl w:val="1C125310"/>
    <w:lvl w:ilvl="0" w:tplc="ABE28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E1519A"/>
    <w:multiLevelType w:val="multilevel"/>
    <w:tmpl w:val="97004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667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A867E1"/>
    <w:multiLevelType w:val="multilevel"/>
    <w:tmpl w:val="400A396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7" w:hanging="2160"/>
      </w:pPr>
      <w:rPr>
        <w:rFonts w:hint="default"/>
      </w:rPr>
    </w:lvl>
  </w:abstractNum>
  <w:abstractNum w:abstractNumId="15">
    <w:nsid w:val="2A581E0E"/>
    <w:multiLevelType w:val="multilevel"/>
    <w:tmpl w:val="67E8B2E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6">
    <w:nsid w:val="2A63431B"/>
    <w:multiLevelType w:val="multilevel"/>
    <w:tmpl w:val="2B1A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A20970"/>
    <w:multiLevelType w:val="hybridMultilevel"/>
    <w:tmpl w:val="A1D0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2F2342"/>
    <w:multiLevelType w:val="hybridMultilevel"/>
    <w:tmpl w:val="A1AA6292"/>
    <w:lvl w:ilvl="0" w:tplc="ABE2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34033"/>
    <w:multiLevelType w:val="multilevel"/>
    <w:tmpl w:val="400A396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7" w:hanging="2160"/>
      </w:pPr>
      <w:rPr>
        <w:rFonts w:hint="default"/>
      </w:rPr>
    </w:lvl>
  </w:abstractNum>
  <w:abstractNum w:abstractNumId="20">
    <w:nsid w:val="31D31881"/>
    <w:multiLevelType w:val="hybridMultilevel"/>
    <w:tmpl w:val="A824F114"/>
    <w:lvl w:ilvl="0" w:tplc="ABE2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>
    <w:nsid w:val="3A6035BA"/>
    <w:multiLevelType w:val="hybridMultilevel"/>
    <w:tmpl w:val="C46CDFE8"/>
    <w:lvl w:ilvl="0" w:tplc="147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1F68C8"/>
    <w:multiLevelType w:val="multilevel"/>
    <w:tmpl w:val="67E8B2E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4">
    <w:nsid w:val="455B7B7C"/>
    <w:multiLevelType w:val="multilevel"/>
    <w:tmpl w:val="67E8B2E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3407B5"/>
    <w:multiLevelType w:val="multilevel"/>
    <w:tmpl w:val="60948CF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6">
    <w:nsid w:val="49F4583C"/>
    <w:multiLevelType w:val="hybridMultilevel"/>
    <w:tmpl w:val="52A27954"/>
    <w:lvl w:ilvl="0" w:tplc="99C47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EB6C71"/>
    <w:multiLevelType w:val="hybridMultilevel"/>
    <w:tmpl w:val="8D6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9">
    <w:nsid w:val="53EC5ACA"/>
    <w:multiLevelType w:val="hybridMultilevel"/>
    <w:tmpl w:val="BF386AD8"/>
    <w:lvl w:ilvl="0" w:tplc="5C185C4C">
      <w:start w:val="1"/>
      <w:numFmt w:val="decimal"/>
      <w:pStyle w:val="1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65282"/>
    <w:multiLevelType w:val="hybridMultilevel"/>
    <w:tmpl w:val="2526A06A"/>
    <w:lvl w:ilvl="0" w:tplc="147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98651C"/>
    <w:multiLevelType w:val="hybridMultilevel"/>
    <w:tmpl w:val="49DC04D4"/>
    <w:lvl w:ilvl="0" w:tplc="ABE2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3">
    <w:nsid w:val="60027A45"/>
    <w:multiLevelType w:val="hybridMultilevel"/>
    <w:tmpl w:val="D5A0E9F0"/>
    <w:lvl w:ilvl="0" w:tplc="ABE28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BD7F58"/>
    <w:multiLevelType w:val="hybridMultilevel"/>
    <w:tmpl w:val="696E1E42"/>
    <w:lvl w:ilvl="0" w:tplc="ABE28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5D3E2D"/>
    <w:multiLevelType w:val="multilevel"/>
    <w:tmpl w:val="E584A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6D6B6C19"/>
    <w:multiLevelType w:val="hybridMultilevel"/>
    <w:tmpl w:val="4E3E3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A05437"/>
    <w:multiLevelType w:val="multilevel"/>
    <w:tmpl w:val="876A70C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8">
    <w:nsid w:val="723E05C2"/>
    <w:multiLevelType w:val="multilevel"/>
    <w:tmpl w:val="67E8B2E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9">
    <w:nsid w:val="724D3E45"/>
    <w:multiLevelType w:val="hybridMultilevel"/>
    <w:tmpl w:val="6A44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12F34"/>
    <w:multiLevelType w:val="hybridMultilevel"/>
    <w:tmpl w:val="30DCB2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657D8"/>
    <w:multiLevelType w:val="hybridMultilevel"/>
    <w:tmpl w:val="905EF0EA"/>
    <w:lvl w:ilvl="0" w:tplc="147AF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25271B"/>
    <w:multiLevelType w:val="hybridMultilevel"/>
    <w:tmpl w:val="D16EF526"/>
    <w:lvl w:ilvl="0" w:tplc="ABE28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16FB6"/>
    <w:multiLevelType w:val="multilevel"/>
    <w:tmpl w:val="23E2E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D2B25F4"/>
    <w:multiLevelType w:val="hybridMultilevel"/>
    <w:tmpl w:val="553C363A"/>
    <w:lvl w:ilvl="0" w:tplc="ABE28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EE59B2"/>
    <w:multiLevelType w:val="multilevel"/>
    <w:tmpl w:val="400A396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7" w:hanging="2160"/>
      </w:pPr>
      <w:rPr>
        <w:rFonts w:hint="default"/>
      </w:rPr>
    </w:lvl>
  </w:abstractNum>
  <w:abstractNum w:abstractNumId="46">
    <w:nsid w:val="7F430E21"/>
    <w:multiLevelType w:val="hybridMultilevel"/>
    <w:tmpl w:val="78FA6D1A"/>
    <w:lvl w:ilvl="0" w:tplc="ABE28746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29"/>
  </w:num>
  <w:num w:numId="2">
    <w:abstractNumId w:val="45"/>
  </w:num>
  <w:num w:numId="3">
    <w:abstractNumId w:val="7"/>
  </w:num>
  <w:num w:numId="4">
    <w:abstractNumId w:val="19"/>
  </w:num>
  <w:num w:numId="5">
    <w:abstractNumId w:val="14"/>
  </w:num>
  <w:num w:numId="6">
    <w:abstractNumId w:val="42"/>
  </w:num>
  <w:num w:numId="7">
    <w:abstractNumId w:val="46"/>
  </w:num>
  <w:num w:numId="8">
    <w:abstractNumId w:val="20"/>
  </w:num>
  <w:num w:numId="9">
    <w:abstractNumId w:val="44"/>
  </w:num>
  <w:num w:numId="10">
    <w:abstractNumId w:val="33"/>
  </w:num>
  <w:num w:numId="11">
    <w:abstractNumId w:val="11"/>
  </w:num>
  <w:num w:numId="12">
    <w:abstractNumId w:val="4"/>
  </w:num>
  <w:num w:numId="13">
    <w:abstractNumId w:val="34"/>
  </w:num>
  <w:num w:numId="14">
    <w:abstractNumId w:val="31"/>
  </w:num>
  <w:num w:numId="15">
    <w:abstractNumId w:val="9"/>
  </w:num>
  <w:num w:numId="16">
    <w:abstractNumId w:val="18"/>
  </w:num>
  <w:num w:numId="17">
    <w:abstractNumId w:val="22"/>
  </w:num>
  <w:num w:numId="18">
    <w:abstractNumId w:val="39"/>
  </w:num>
  <w:num w:numId="19">
    <w:abstractNumId w:val="36"/>
  </w:num>
  <w:num w:numId="20">
    <w:abstractNumId w:val="5"/>
  </w:num>
  <w:num w:numId="21">
    <w:abstractNumId w:val="8"/>
  </w:num>
  <w:num w:numId="22">
    <w:abstractNumId w:val="43"/>
  </w:num>
  <w:num w:numId="23">
    <w:abstractNumId w:val="10"/>
  </w:num>
  <w:num w:numId="24">
    <w:abstractNumId w:val="16"/>
  </w:num>
  <w:num w:numId="25">
    <w:abstractNumId w:val="6"/>
  </w:num>
  <w:num w:numId="26">
    <w:abstractNumId w:val="25"/>
  </w:num>
  <w:num w:numId="27">
    <w:abstractNumId w:val="30"/>
  </w:num>
  <w:num w:numId="28">
    <w:abstractNumId w:val="2"/>
  </w:num>
  <w:num w:numId="29">
    <w:abstractNumId w:val="40"/>
  </w:num>
  <w:num w:numId="30">
    <w:abstractNumId w:val="27"/>
  </w:num>
  <w:num w:numId="31">
    <w:abstractNumId w:val="41"/>
  </w:num>
  <w:num w:numId="32">
    <w:abstractNumId w:val="12"/>
  </w:num>
  <w:num w:numId="33">
    <w:abstractNumId w:val="15"/>
  </w:num>
  <w:num w:numId="34">
    <w:abstractNumId w:val="37"/>
  </w:num>
  <w:num w:numId="35">
    <w:abstractNumId w:val="13"/>
  </w:num>
  <w:num w:numId="36">
    <w:abstractNumId w:val="38"/>
  </w:num>
  <w:num w:numId="37">
    <w:abstractNumId w:val="24"/>
  </w:num>
  <w:num w:numId="38">
    <w:abstractNumId w:val="23"/>
  </w:num>
  <w:num w:numId="39">
    <w:abstractNumId w:val="35"/>
  </w:num>
  <w:num w:numId="40">
    <w:abstractNumId w:val="0"/>
  </w:num>
  <w:num w:numId="41">
    <w:abstractNumId w:val="3"/>
  </w:num>
  <w:num w:numId="42">
    <w:abstractNumId w:val="26"/>
  </w:num>
  <w:num w:numId="43">
    <w:abstractNumId w:val="17"/>
  </w:num>
  <w:num w:numId="44">
    <w:abstractNumId w:val="21"/>
  </w:num>
  <w:num w:numId="45">
    <w:abstractNumId w:val="28"/>
  </w:num>
  <w:num w:numId="46">
    <w:abstractNumId w:val="3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D43"/>
    <w:rsid w:val="000016CA"/>
    <w:rsid w:val="000057BE"/>
    <w:rsid w:val="0000734B"/>
    <w:rsid w:val="0001721D"/>
    <w:rsid w:val="00017B32"/>
    <w:rsid w:val="00022084"/>
    <w:rsid w:val="000225BD"/>
    <w:rsid w:val="00024482"/>
    <w:rsid w:val="00024563"/>
    <w:rsid w:val="00024FFC"/>
    <w:rsid w:val="00025E55"/>
    <w:rsid w:val="00026BC7"/>
    <w:rsid w:val="000321C8"/>
    <w:rsid w:val="000343F2"/>
    <w:rsid w:val="00034C90"/>
    <w:rsid w:val="00043C87"/>
    <w:rsid w:val="00044F0B"/>
    <w:rsid w:val="00045C4B"/>
    <w:rsid w:val="00051653"/>
    <w:rsid w:val="000534C8"/>
    <w:rsid w:val="00054CB0"/>
    <w:rsid w:val="00056413"/>
    <w:rsid w:val="0005735E"/>
    <w:rsid w:val="00062910"/>
    <w:rsid w:val="0006515A"/>
    <w:rsid w:val="00070044"/>
    <w:rsid w:val="00070FDC"/>
    <w:rsid w:val="0007479E"/>
    <w:rsid w:val="00076590"/>
    <w:rsid w:val="00083BAF"/>
    <w:rsid w:val="00086CA4"/>
    <w:rsid w:val="00091166"/>
    <w:rsid w:val="000936C7"/>
    <w:rsid w:val="000A0533"/>
    <w:rsid w:val="000A16B2"/>
    <w:rsid w:val="000A268D"/>
    <w:rsid w:val="000A5CC5"/>
    <w:rsid w:val="000B32EE"/>
    <w:rsid w:val="000C0901"/>
    <w:rsid w:val="000C3F87"/>
    <w:rsid w:val="000C5D58"/>
    <w:rsid w:val="000C610C"/>
    <w:rsid w:val="000D066D"/>
    <w:rsid w:val="000D0F32"/>
    <w:rsid w:val="000D1E26"/>
    <w:rsid w:val="000D2050"/>
    <w:rsid w:val="000D3138"/>
    <w:rsid w:val="000D3698"/>
    <w:rsid w:val="000D3E25"/>
    <w:rsid w:val="000E2344"/>
    <w:rsid w:val="000E4F44"/>
    <w:rsid w:val="000E6376"/>
    <w:rsid w:val="000F3CBB"/>
    <w:rsid w:val="000F68F2"/>
    <w:rsid w:val="00106CE8"/>
    <w:rsid w:val="00110019"/>
    <w:rsid w:val="0011192A"/>
    <w:rsid w:val="00116233"/>
    <w:rsid w:val="0011705B"/>
    <w:rsid w:val="00124FDB"/>
    <w:rsid w:val="00130C46"/>
    <w:rsid w:val="00133A8F"/>
    <w:rsid w:val="0013507B"/>
    <w:rsid w:val="0014079F"/>
    <w:rsid w:val="001424EA"/>
    <w:rsid w:val="001431E5"/>
    <w:rsid w:val="00147CE4"/>
    <w:rsid w:val="00156AF5"/>
    <w:rsid w:val="001605A9"/>
    <w:rsid w:val="001665CC"/>
    <w:rsid w:val="00166663"/>
    <w:rsid w:val="00167EB3"/>
    <w:rsid w:val="001745DD"/>
    <w:rsid w:val="00181F9D"/>
    <w:rsid w:val="00182417"/>
    <w:rsid w:val="00183159"/>
    <w:rsid w:val="00183AE2"/>
    <w:rsid w:val="00187161"/>
    <w:rsid w:val="001871F4"/>
    <w:rsid w:val="00191864"/>
    <w:rsid w:val="0019202E"/>
    <w:rsid w:val="001B24B8"/>
    <w:rsid w:val="001B4248"/>
    <w:rsid w:val="001B5794"/>
    <w:rsid w:val="001B6163"/>
    <w:rsid w:val="001C484A"/>
    <w:rsid w:val="001C5279"/>
    <w:rsid w:val="001E28E3"/>
    <w:rsid w:val="001E36E1"/>
    <w:rsid w:val="001E3A4E"/>
    <w:rsid w:val="001E5CAA"/>
    <w:rsid w:val="001E6D56"/>
    <w:rsid w:val="001E787D"/>
    <w:rsid w:val="001F00D2"/>
    <w:rsid w:val="001F14E1"/>
    <w:rsid w:val="001F4525"/>
    <w:rsid w:val="001F4531"/>
    <w:rsid w:val="001F4A67"/>
    <w:rsid w:val="0020160C"/>
    <w:rsid w:val="00201873"/>
    <w:rsid w:val="00204B1C"/>
    <w:rsid w:val="00204C33"/>
    <w:rsid w:val="0020613C"/>
    <w:rsid w:val="0020736C"/>
    <w:rsid w:val="00207D56"/>
    <w:rsid w:val="0021048B"/>
    <w:rsid w:val="002108B4"/>
    <w:rsid w:val="00212DCA"/>
    <w:rsid w:val="00213E38"/>
    <w:rsid w:val="00221D11"/>
    <w:rsid w:val="00233703"/>
    <w:rsid w:val="00246289"/>
    <w:rsid w:val="0025183F"/>
    <w:rsid w:val="00252957"/>
    <w:rsid w:val="00257CD2"/>
    <w:rsid w:val="00261E3A"/>
    <w:rsid w:val="002624EA"/>
    <w:rsid w:val="00264159"/>
    <w:rsid w:val="00265E86"/>
    <w:rsid w:val="00276C2A"/>
    <w:rsid w:val="002855F1"/>
    <w:rsid w:val="00287313"/>
    <w:rsid w:val="002A0CF3"/>
    <w:rsid w:val="002A18D8"/>
    <w:rsid w:val="002A37E8"/>
    <w:rsid w:val="002A3EDE"/>
    <w:rsid w:val="002A49BB"/>
    <w:rsid w:val="002A5844"/>
    <w:rsid w:val="002B3CAB"/>
    <w:rsid w:val="002B765B"/>
    <w:rsid w:val="002C506D"/>
    <w:rsid w:val="002D55C3"/>
    <w:rsid w:val="002E2868"/>
    <w:rsid w:val="002E60C3"/>
    <w:rsid w:val="002E6181"/>
    <w:rsid w:val="002F297C"/>
    <w:rsid w:val="002F3750"/>
    <w:rsid w:val="002F4265"/>
    <w:rsid w:val="002F4E1A"/>
    <w:rsid w:val="002F796B"/>
    <w:rsid w:val="003014CE"/>
    <w:rsid w:val="00303D2F"/>
    <w:rsid w:val="00306450"/>
    <w:rsid w:val="0031020F"/>
    <w:rsid w:val="00311BF5"/>
    <w:rsid w:val="00312FD5"/>
    <w:rsid w:val="0031483A"/>
    <w:rsid w:val="00320610"/>
    <w:rsid w:val="003231CF"/>
    <w:rsid w:val="00324752"/>
    <w:rsid w:val="0032677D"/>
    <w:rsid w:val="00330522"/>
    <w:rsid w:val="00330C06"/>
    <w:rsid w:val="0033211D"/>
    <w:rsid w:val="003360DC"/>
    <w:rsid w:val="0034029A"/>
    <w:rsid w:val="00340302"/>
    <w:rsid w:val="00343113"/>
    <w:rsid w:val="00346470"/>
    <w:rsid w:val="00351D54"/>
    <w:rsid w:val="00353155"/>
    <w:rsid w:val="0035736F"/>
    <w:rsid w:val="00362732"/>
    <w:rsid w:val="00362930"/>
    <w:rsid w:val="0036473A"/>
    <w:rsid w:val="00364DB8"/>
    <w:rsid w:val="00366826"/>
    <w:rsid w:val="003735A5"/>
    <w:rsid w:val="003735FD"/>
    <w:rsid w:val="00374102"/>
    <w:rsid w:val="00374180"/>
    <w:rsid w:val="00374EF5"/>
    <w:rsid w:val="0037586A"/>
    <w:rsid w:val="003862C1"/>
    <w:rsid w:val="00391DD9"/>
    <w:rsid w:val="003961C7"/>
    <w:rsid w:val="00397228"/>
    <w:rsid w:val="00397298"/>
    <w:rsid w:val="00397975"/>
    <w:rsid w:val="003A07CF"/>
    <w:rsid w:val="003A0FC0"/>
    <w:rsid w:val="003A3145"/>
    <w:rsid w:val="003A3473"/>
    <w:rsid w:val="003A3DAA"/>
    <w:rsid w:val="003A4FA9"/>
    <w:rsid w:val="003A6A2E"/>
    <w:rsid w:val="003B08DC"/>
    <w:rsid w:val="003B20F7"/>
    <w:rsid w:val="003C26B1"/>
    <w:rsid w:val="003D118A"/>
    <w:rsid w:val="003D3118"/>
    <w:rsid w:val="003D6C8E"/>
    <w:rsid w:val="003E1044"/>
    <w:rsid w:val="003E2F4D"/>
    <w:rsid w:val="003E4D6F"/>
    <w:rsid w:val="003E6A34"/>
    <w:rsid w:val="003F374C"/>
    <w:rsid w:val="003F3C30"/>
    <w:rsid w:val="003F616C"/>
    <w:rsid w:val="004006C6"/>
    <w:rsid w:val="004011F2"/>
    <w:rsid w:val="004015F5"/>
    <w:rsid w:val="00401FBD"/>
    <w:rsid w:val="00404725"/>
    <w:rsid w:val="00407ABD"/>
    <w:rsid w:val="0041001F"/>
    <w:rsid w:val="00413686"/>
    <w:rsid w:val="00421973"/>
    <w:rsid w:val="00423DE2"/>
    <w:rsid w:val="00426F2A"/>
    <w:rsid w:val="004313E6"/>
    <w:rsid w:val="00431766"/>
    <w:rsid w:val="00432C77"/>
    <w:rsid w:val="00452765"/>
    <w:rsid w:val="00456A44"/>
    <w:rsid w:val="00461727"/>
    <w:rsid w:val="00463E44"/>
    <w:rsid w:val="004679CF"/>
    <w:rsid w:val="00472D79"/>
    <w:rsid w:val="004733D9"/>
    <w:rsid w:val="004734B0"/>
    <w:rsid w:val="004757E4"/>
    <w:rsid w:val="00481A2B"/>
    <w:rsid w:val="00494777"/>
    <w:rsid w:val="00495F4F"/>
    <w:rsid w:val="004A6FA3"/>
    <w:rsid w:val="004B1EF1"/>
    <w:rsid w:val="004B42AF"/>
    <w:rsid w:val="004B54C7"/>
    <w:rsid w:val="004B7643"/>
    <w:rsid w:val="004B78CC"/>
    <w:rsid w:val="004C5765"/>
    <w:rsid w:val="004C78C4"/>
    <w:rsid w:val="004D00EB"/>
    <w:rsid w:val="004D12E1"/>
    <w:rsid w:val="004D5C91"/>
    <w:rsid w:val="004D7268"/>
    <w:rsid w:val="004E7F48"/>
    <w:rsid w:val="004F1A3B"/>
    <w:rsid w:val="004F4273"/>
    <w:rsid w:val="004F5150"/>
    <w:rsid w:val="00502C92"/>
    <w:rsid w:val="005035ED"/>
    <w:rsid w:val="00503903"/>
    <w:rsid w:val="00504557"/>
    <w:rsid w:val="00505F9A"/>
    <w:rsid w:val="005071E3"/>
    <w:rsid w:val="005077CC"/>
    <w:rsid w:val="00510896"/>
    <w:rsid w:val="00514F88"/>
    <w:rsid w:val="00515E50"/>
    <w:rsid w:val="00516948"/>
    <w:rsid w:val="0051738F"/>
    <w:rsid w:val="00520370"/>
    <w:rsid w:val="00522776"/>
    <w:rsid w:val="005303C2"/>
    <w:rsid w:val="00531459"/>
    <w:rsid w:val="0053305B"/>
    <w:rsid w:val="00534615"/>
    <w:rsid w:val="0053714C"/>
    <w:rsid w:val="005444E2"/>
    <w:rsid w:val="005454DB"/>
    <w:rsid w:val="00551251"/>
    <w:rsid w:val="00552312"/>
    <w:rsid w:val="00552475"/>
    <w:rsid w:val="00552C12"/>
    <w:rsid w:val="00553054"/>
    <w:rsid w:val="0055515B"/>
    <w:rsid w:val="00555D77"/>
    <w:rsid w:val="00557319"/>
    <w:rsid w:val="00562C78"/>
    <w:rsid w:val="00563F79"/>
    <w:rsid w:val="005653F6"/>
    <w:rsid w:val="00573BD1"/>
    <w:rsid w:val="0058192E"/>
    <w:rsid w:val="00584F67"/>
    <w:rsid w:val="005877A0"/>
    <w:rsid w:val="00592C80"/>
    <w:rsid w:val="0059406D"/>
    <w:rsid w:val="0059498F"/>
    <w:rsid w:val="005968FA"/>
    <w:rsid w:val="005A1102"/>
    <w:rsid w:val="005A141C"/>
    <w:rsid w:val="005B287C"/>
    <w:rsid w:val="005B69AB"/>
    <w:rsid w:val="005B6FE2"/>
    <w:rsid w:val="005B7451"/>
    <w:rsid w:val="005C4825"/>
    <w:rsid w:val="005C536F"/>
    <w:rsid w:val="005D05D0"/>
    <w:rsid w:val="005D2244"/>
    <w:rsid w:val="005D2AB7"/>
    <w:rsid w:val="005D4A7B"/>
    <w:rsid w:val="005D7480"/>
    <w:rsid w:val="005E399A"/>
    <w:rsid w:val="005E7D5E"/>
    <w:rsid w:val="005F017A"/>
    <w:rsid w:val="005F2BB4"/>
    <w:rsid w:val="005F3E23"/>
    <w:rsid w:val="005F42B3"/>
    <w:rsid w:val="005F4D74"/>
    <w:rsid w:val="006026FD"/>
    <w:rsid w:val="0060398E"/>
    <w:rsid w:val="006070FF"/>
    <w:rsid w:val="006139EA"/>
    <w:rsid w:val="00615732"/>
    <w:rsid w:val="00620D43"/>
    <w:rsid w:val="00622A08"/>
    <w:rsid w:val="00625647"/>
    <w:rsid w:val="0063272C"/>
    <w:rsid w:val="0063512F"/>
    <w:rsid w:val="006410BA"/>
    <w:rsid w:val="006441AF"/>
    <w:rsid w:val="00644F0D"/>
    <w:rsid w:val="00645749"/>
    <w:rsid w:val="0064755D"/>
    <w:rsid w:val="00652868"/>
    <w:rsid w:val="00653812"/>
    <w:rsid w:val="00653F8C"/>
    <w:rsid w:val="00654695"/>
    <w:rsid w:val="00667115"/>
    <w:rsid w:val="0066749F"/>
    <w:rsid w:val="006679F4"/>
    <w:rsid w:val="00667B71"/>
    <w:rsid w:val="00670719"/>
    <w:rsid w:val="0067186C"/>
    <w:rsid w:val="00692EC7"/>
    <w:rsid w:val="00697FA1"/>
    <w:rsid w:val="006A50EE"/>
    <w:rsid w:val="006B1167"/>
    <w:rsid w:val="006B3CDB"/>
    <w:rsid w:val="006B4A58"/>
    <w:rsid w:val="006B7EC0"/>
    <w:rsid w:val="006C47CA"/>
    <w:rsid w:val="006C517D"/>
    <w:rsid w:val="006C5FB3"/>
    <w:rsid w:val="006C7019"/>
    <w:rsid w:val="006D0C53"/>
    <w:rsid w:val="006D2017"/>
    <w:rsid w:val="006D4E20"/>
    <w:rsid w:val="006D647C"/>
    <w:rsid w:val="006E06F1"/>
    <w:rsid w:val="006E3E24"/>
    <w:rsid w:val="006E7532"/>
    <w:rsid w:val="006F01DD"/>
    <w:rsid w:val="006F0470"/>
    <w:rsid w:val="006F2469"/>
    <w:rsid w:val="006F25D9"/>
    <w:rsid w:val="006F3A29"/>
    <w:rsid w:val="006F66D7"/>
    <w:rsid w:val="006F6EF7"/>
    <w:rsid w:val="00700079"/>
    <w:rsid w:val="00701C93"/>
    <w:rsid w:val="00706E0D"/>
    <w:rsid w:val="007101AD"/>
    <w:rsid w:val="00713118"/>
    <w:rsid w:val="00714DE2"/>
    <w:rsid w:val="00715A21"/>
    <w:rsid w:val="00715F7D"/>
    <w:rsid w:val="007164AC"/>
    <w:rsid w:val="00720625"/>
    <w:rsid w:val="00724145"/>
    <w:rsid w:val="00725B7D"/>
    <w:rsid w:val="00730C35"/>
    <w:rsid w:val="00734B5D"/>
    <w:rsid w:val="00735BC7"/>
    <w:rsid w:val="00736D89"/>
    <w:rsid w:val="0074087D"/>
    <w:rsid w:val="00745D70"/>
    <w:rsid w:val="00753136"/>
    <w:rsid w:val="0076010A"/>
    <w:rsid w:val="00765458"/>
    <w:rsid w:val="00766207"/>
    <w:rsid w:val="0076667D"/>
    <w:rsid w:val="00770895"/>
    <w:rsid w:val="00771305"/>
    <w:rsid w:val="007720FF"/>
    <w:rsid w:val="00775D15"/>
    <w:rsid w:val="00784387"/>
    <w:rsid w:val="007910F6"/>
    <w:rsid w:val="007A001D"/>
    <w:rsid w:val="007A3F04"/>
    <w:rsid w:val="007A4A47"/>
    <w:rsid w:val="007B1F7A"/>
    <w:rsid w:val="007B204A"/>
    <w:rsid w:val="007B237F"/>
    <w:rsid w:val="007B3800"/>
    <w:rsid w:val="007B534E"/>
    <w:rsid w:val="007C23C5"/>
    <w:rsid w:val="007C381F"/>
    <w:rsid w:val="007D0FDE"/>
    <w:rsid w:val="007E0127"/>
    <w:rsid w:val="007E03C8"/>
    <w:rsid w:val="007E2A43"/>
    <w:rsid w:val="007E2F8E"/>
    <w:rsid w:val="007F10D5"/>
    <w:rsid w:val="007F5A10"/>
    <w:rsid w:val="007F5A71"/>
    <w:rsid w:val="00800475"/>
    <w:rsid w:val="00804066"/>
    <w:rsid w:val="008109C9"/>
    <w:rsid w:val="00817E7B"/>
    <w:rsid w:val="008214D9"/>
    <w:rsid w:val="00824BA8"/>
    <w:rsid w:val="00831D15"/>
    <w:rsid w:val="00832682"/>
    <w:rsid w:val="0083508A"/>
    <w:rsid w:val="008378BB"/>
    <w:rsid w:val="00840A8A"/>
    <w:rsid w:val="008421E3"/>
    <w:rsid w:val="008433FD"/>
    <w:rsid w:val="008445FF"/>
    <w:rsid w:val="00847C73"/>
    <w:rsid w:val="00852023"/>
    <w:rsid w:val="00862473"/>
    <w:rsid w:val="00862925"/>
    <w:rsid w:val="00863B0B"/>
    <w:rsid w:val="008670A7"/>
    <w:rsid w:val="00867661"/>
    <w:rsid w:val="00874F89"/>
    <w:rsid w:val="0087572E"/>
    <w:rsid w:val="008838BA"/>
    <w:rsid w:val="00883CFF"/>
    <w:rsid w:val="00885D7F"/>
    <w:rsid w:val="008947FC"/>
    <w:rsid w:val="008A18E1"/>
    <w:rsid w:val="008A43F5"/>
    <w:rsid w:val="008A5182"/>
    <w:rsid w:val="008A7BC9"/>
    <w:rsid w:val="008B0D3A"/>
    <w:rsid w:val="008B2E42"/>
    <w:rsid w:val="008C73DB"/>
    <w:rsid w:val="008C7563"/>
    <w:rsid w:val="008D1030"/>
    <w:rsid w:val="008D762B"/>
    <w:rsid w:val="008E0B1C"/>
    <w:rsid w:val="008E713A"/>
    <w:rsid w:val="008E730A"/>
    <w:rsid w:val="008F1060"/>
    <w:rsid w:val="008F4A32"/>
    <w:rsid w:val="008F5C6D"/>
    <w:rsid w:val="008F6816"/>
    <w:rsid w:val="00901BFB"/>
    <w:rsid w:val="009025BB"/>
    <w:rsid w:val="00903E63"/>
    <w:rsid w:val="00906CFD"/>
    <w:rsid w:val="009105EE"/>
    <w:rsid w:val="0091067C"/>
    <w:rsid w:val="009176CA"/>
    <w:rsid w:val="00917E38"/>
    <w:rsid w:val="00921835"/>
    <w:rsid w:val="009230F6"/>
    <w:rsid w:val="00923FE6"/>
    <w:rsid w:val="00930E38"/>
    <w:rsid w:val="009317E9"/>
    <w:rsid w:val="009323BF"/>
    <w:rsid w:val="00941A3D"/>
    <w:rsid w:val="009427DF"/>
    <w:rsid w:val="00942DD9"/>
    <w:rsid w:val="00945452"/>
    <w:rsid w:val="009509C7"/>
    <w:rsid w:val="00952182"/>
    <w:rsid w:val="00953DF8"/>
    <w:rsid w:val="00954D6E"/>
    <w:rsid w:val="0095694F"/>
    <w:rsid w:val="00960447"/>
    <w:rsid w:val="009631D8"/>
    <w:rsid w:val="009670EB"/>
    <w:rsid w:val="0096739E"/>
    <w:rsid w:val="00971D08"/>
    <w:rsid w:val="00971F78"/>
    <w:rsid w:val="00976556"/>
    <w:rsid w:val="00976D67"/>
    <w:rsid w:val="00981E92"/>
    <w:rsid w:val="00987AD8"/>
    <w:rsid w:val="0099252E"/>
    <w:rsid w:val="009960A0"/>
    <w:rsid w:val="009A0EC7"/>
    <w:rsid w:val="009A3A1B"/>
    <w:rsid w:val="009A7001"/>
    <w:rsid w:val="009B007E"/>
    <w:rsid w:val="009B0707"/>
    <w:rsid w:val="009B1332"/>
    <w:rsid w:val="009B20FE"/>
    <w:rsid w:val="009B28AD"/>
    <w:rsid w:val="009B2F84"/>
    <w:rsid w:val="009B3CD6"/>
    <w:rsid w:val="009C1A80"/>
    <w:rsid w:val="009C2722"/>
    <w:rsid w:val="009C3C70"/>
    <w:rsid w:val="009C573C"/>
    <w:rsid w:val="009D70C4"/>
    <w:rsid w:val="009E382A"/>
    <w:rsid w:val="009E4BC9"/>
    <w:rsid w:val="009F09A6"/>
    <w:rsid w:val="009F09B0"/>
    <w:rsid w:val="009F5A42"/>
    <w:rsid w:val="00A017B0"/>
    <w:rsid w:val="00A0502F"/>
    <w:rsid w:val="00A0715A"/>
    <w:rsid w:val="00A07777"/>
    <w:rsid w:val="00A11949"/>
    <w:rsid w:val="00A11B9F"/>
    <w:rsid w:val="00A144F3"/>
    <w:rsid w:val="00A159DE"/>
    <w:rsid w:val="00A17F39"/>
    <w:rsid w:val="00A2332B"/>
    <w:rsid w:val="00A26231"/>
    <w:rsid w:val="00A30DDD"/>
    <w:rsid w:val="00A37FFA"/>
    <w:rsid w:val="00A40DD9"/>
    <w:rsid w:val="00A4311C"/>
    <w:rsid w:val="00A46FE8"/>
    <w:rsid w:val="00A50BEA"/>
    <w:rsid w:val="00A511D4"/>
    <w:rsid w:val="00A51F16"/>
    <w:rsid w:val="00A556A9"/>
    <w:rsid w:val="00A5611B"/>
    <w:rsid w:val="00A6134A"/>
    <w:rsid w:val="00A62626"/>
    <w:rsid w:val="00A62DA9"/>
    <w:rsid w:val="00A648B2"/>
    <w:rsid w:val="00A716B5"/>
    <w:rsid w:val="00A776D6"/>
    <w:rsid w:val="00A77BAF"/>
    <w:rsid w:val="00A87EB1"/>
    <w:rsid w:val="00A902AB"/>
    <w:rsid w:val="00A94407"/>
    <w:rsid w:val="00A959E0"/>
    <w:rsid w:val="00A960D8"/>
    <w:rsid w:val="00A96920"/>
    <w:rsid w:val="00A973B0"/>
    <w:rsid w:val="00A97629"/>
    <w:rsid w:val="00AB016E"/>
    <w:rsid w:val="00AB738C"/>
    <w:rsid w:val="00AB7ADC"/>
    <w:rsid w:val="00AC0F48"/>
    <w:rsid w:val="00AC2629"/>
    <w:rsid w:val="00AC38B2"/>
    <w:rsid w:val="00AC519D"/>
    <w:rsid w:val="00AC58E9"/>
    <w:rsid w:val="00AC6A41"/>
    <w:rsid w:val="00AD32CE"/>
    <w:rsid w:val="00AF2B10"/>
    <w:rsid w:val="00AF305C"/>
    <w:rsid w:val="00AF4075"/>
    <w:rsid w:val="00AF6CCD"/>
    <w:rsid w:val="00AF7FEF"/>
    <w:rsid w:val="00B06758"/>
    <w:rsid w:val="00B06A2B"/>
    <w:rsid w:val="00B06C75"/>
    <w:rsid w:val="00B100F5"/>
    <w:rsid w:val="00B10D8B"/>
    <w:rsid w:val="00B1764B"/>
    <w:rsid w:val="00B20793"/>
    <w:rsid w:val="00B248B8"/>
    <w:rsid w:val="00B3086E"/>
    <w:rsid w:val="00B30AFC"/>
    <w:rsid w:val="00B324FA"/>
    <w:rsid w:val="00B3496F"/>
    <w:rsid w:val="00B34ED2"/>
    <w:rsid w:val="00B4268E"/>
    <w:rsid w:val="00B51B57"/>
    <w:rsid w:val="00B53C1F"/>
    <w:rsid w:val="00B6591B"/>
    <w:rsid w:val="00B72B39"/>
    <w:rsid w:val="00B75835"/>
    <w:rsid w:val="00B80F65"/>
    <w:rsid w:val="00B8269C"/>
    <w:rsid w:val="00B84A5A"/>
    <w:rsid w:val="00B86C72"/>
    <w:rsid w:val="00B87F4E"/>
    <w:rsid w:val="00B908B6"/>
    <w:rsid w:val="00B920D3"/>
    <w:rsid w:val="00BA0C93"/>
    <w:rsid w:val="00BA19E6"/>
    <w:rsid w:val="00BB21E1"/>
    <w:rsid w:val="00BC02FF"/>
    <w:rsid w:val="00BC7F37"/>
    <w:rsid w:val="00BD17B9"/>
    <w:rsid w:val="00BD2F3C"/>
    <w:rsid w:val="00BD5AA0"/>
    <w:rsid w:val="00BD6068"/>
    <w:rsid w:val="00BE2E28"/>
    <w:rsid w:val="00BE5EED"/>
    <w:rsid w:val="00BF21C1"/>
    <w:rsid w:val="00BF390E"/>
    <w:rsid w:val="00BF4136"/>
    <w:rsid w:val="00BF6493"/>
    <w:rsid w:val="00C0175C"/>
    <w:rsid w:val="00C0247C"/>
    <w:rsid w:val="00C02A76"/>
    <w:rsid w:val="00C04A54"/>
    <w:rsid w:val="00C13225"/>
    <w:rsid w:val="00C1433F"/>
    <w:rsid w:val="00C1451F"/>
    <w:rsid w:val="00C22078"/>
    <w:rsid w:val="00C2598E"/>
    <w:rsid w:val="00C26776"/>
    <w:rsid w:val="00C2750F"/>
    <w:rsid w:val="00C30EDE"/>
    <w:rsid w:val="00C3552F"/>
    <w:rsid w:val="00C35B44"/>
    <w:rsid w:val="00C40147"/>
    <w:rsid w:val="00C4290C"/>
    <w:rsid w:val="00C528DB"/>
    <w:rsid w:val="00C538CD"/>
    <w:rsid w:val="00C53F6F"/>
    <w:rsid w:val="00C56F3C"/>
    <w:rsid w:val="00C5785D"/>
    <w:rsid w:val="00C6147E"/>
    <w:rsid w:val="00C62300"/>
    <w:rsid w:val="00C77138"/>
    <w:rsid w:val="00C77F5C"/>
    <w:rsid w:val="00C80136"/>
    <w:rsid w:val="00C81747"/>
    <w:rsid w:val="00C93561"/>
    <w:rsid w:val="00CA1039"/>
    <w:rsid w:val="00CA60EB"/>
    <w:rsid w:val="00CB018E"/>
    <w:rsid w:val="00CB6506"/>
    <w:rsid w:val="00CC02BC"/>
    <w:rsid w:val="00CC05B8"/>
    <w:rsid w:val="00CC11DC"/>
    <w:rsid w:val="00CC4D9C"/>
    <w:rsid w:val="00CC76C1"/>
    <w:rsid w:val="00CC7BA7"/>
    <w:rsid w:val="00CD2831"/>
    <w:rsid w:val="00CD35A4"/>
    <w:rsid w:val="00CD37B2"/>
    <w:rsid w:val="00CD68E6"/>
    <w:rsid w:val="00CD6DD8"/>
    <w:rsid w:val="00CE1130"/>
    <w:rsid w:val="00CE4B4C"/>
    <w:rsid w:val="00CF2E16"/>
    <w:rsid w:val="00CF3E88"/>
    <w:rsid w:val="00CF6501"/>
    <w:rsid w:val="00D023B9"/>
    <w:rsid w:val="00D03796"/>
    <w:rsid w:val="00D22279"/>
    <w:rsid w:val="00D23203"/>
    <w:rsid w:val="00D26B86"/>
    <w:rsid w:val="00D26FFD"/>
    <w:rsid w:val="00D30698"/>
    <w:rsid w:val="00D31121"/>
    <w:rsid w:val="00D31139"/>
    <w:rsid w:val="00D45BB2"/>
    <w:rsid w:val="00D4618B"/>
    <w:rsid w:val="00D52ECC"/>
    <w:rsid w:val="00D52F62"/>
    <w:rsid w:val="00D53BE7"/>
    <w:rsid w:val="00D62F14"/>
    <w:rsid w:val="00D701C4"/>
    <w:rsid w:val="00D733D8"/>
    <w:rsid w:val="00D747B5"/>
    <w:rsid w:val="00D74F33"/>
    <w:rsid w:val="00D81EB2"/>
    <w:rsid w:val="00D82769"/>
    <w:rsid w:val="00D84BF9"/>
    <w:rsid w:val="00D84F9E"/>
    <w:rsid w:val="00D85834"/>
    <w:rsid w:val="00D860C5"/>
    <w:rsid w:val="00D871FE"/>
    <w:rsid w:val="00D92AFF"/>
    <w:rsid w:val="00D930A9"/>
    <w:rsid w:val="00D94C22"/>
    <w:rsid w:val="00DB6119"/>
    <w:rsid w:val="00DB63FC"/>
    <w:rsid w:val="00DC52A3"/>
    <w:rsid w:val="00DC5681"/>
    <w:rsid w:val="00DC6A7B"/>
    <w:rsid w:val="00DC7F06"/>
    <w:rsid w:val="00DE2621"/>
    <w:rsid w:val="00DE6BFD"/>
    <w:rsid w:val="00DF305C"/>
    <w:rsid w:val="00DF5802"/>
    <w:rsid w:val="00E01862"/>
    <w:rsid w:val="00E02431"/>
    <w:rsid w:val="00E02CD6"/>
    <w:rsid w:val="00E04147"/>
    <w:rsid w:val="00E072FC"/>
    <w:rsid w:val="00E10A22"/>
    <w:rsid w:val="00E13F92"/>
    <w:rsid w:val="00E170E7"/>
    <w:rsid w:val="00E2177C"/>
    <w:rsid w:val="00E2440B"/>
    <w:rsid w:val="00E256C0"/>
    <w:rsid w:val="00E26FFB"/>
    <w:rsid w:val="00E31F60"/>
    <w:rsid w:val="00E34C14"/>
    <w:rsid w:val="00E3628B"/>
    <w:rsid w:val="00E40D53"/>
    <w:rsid w:val="00E53C2B"/>
    <w:rsid w:val="00E57A0D"/>
    <w:rsid w:val="00E602E3"/>
    <w:rsid w:val="00E61159"/>
    <w:rsid w:val="00E616F7"/>
    <w:rsid w:val="00E62DF7"/>
    <w:rsid w:val="00E64D51"/>
    <w:rsid w:val="00E64E35"/>
    <w:rsid w:val="00E65E8D"/>
    <w:rsid w:val="00E6679C"/>
    <w:rsid w:val="00E675D2"/>
    <w:rsid w:val="00E67EA9"/>
    <w:rsid w:val="00E700D4"/>
    <w:rsid w:val="00E757ED"/>
    <w:rsid w:val="00E829C3"/>
    <w:rsid w:val="00E82E67"/>
    <w:rsid w:val="00E9105E"/>
    <w:rsid w:val="00E93EF4"/>
    <w:rsid w:val="00EA4183"/>
    <w:rsid w:val="00EA6E63"/>
    <w:rsid w:val="00EA76F8"/>
    <w:rsid w:val="00EB00B1"/>
    <w:rsid w:val="00EB1E44"/>
    <w:rsid w:val="00EB3120"/>
    <w:rsid w:val="00EB40F2"/>
    <w:rsid w:val="00EB6C06"/>
    <w:rsid w:val="00EC087B"/>
    <w:rsid w:val="00EC093D"/>
    <w:rsid w:val="00EC133D"/>
    <w:rsid w:val="00EC1F59"/>
    <w:rsid w:val="00EC416F"/>
    <w:rsid w:val="00ED4124"/>
    <w:rsid w:val="00ED5DA7"/>
    <w:rsid w:val="00ED5E3F"/>
    <w:rsid w:val="00ED6DA4"/>
    <w:rsid w:val="00EE19A8"/>
    <w:rsid w:val="00EE3ECD"/>
    <w:rsid w:val="00EE508E"/>
    <w:rsid w:val="00EE6B00"/>
    <w:rsid w:val="00EE71B8"/>
    <w:rsid w:val="00EF12DD"/>
    <w:rsid w:val="00EF2BB1"/>
    <w:rsid w:val="00EF49EB"/>
    <w:rsid w:val="00EF5F9A"/>
    <w:rsid w:val="00F01CFB"/>
    <w:rsid w:val="00F048B9"/>
    <w:rsid w:val="00F146C0"/>
    <w:rsid w:val="00F16C15"/>
    <w:rsid w:val="00F21BD8"/>
    <w:rsid w:val="00F22629"/>
    <w:rsid w:val="00F23734"/>
    <w:rsid w:val="00F24554"/>
    <w:rsid w:val="00F314EE"/>
    <w:rsid w:val="00F33207"/>
    <w:rsid w:val="00F34032"/>
    <w:rsid w:val="00F35B8F"/>
    <w:rsid w:val="00F364E1"/>
    <w:rsid w:val="00F37C72"/>
    <w:rsid w:val="00F418F3"/>
    <w:rsid w:val="00F4278B"/>
    <w:rsid w:val="00F54B93"/>
    <w:rsid w:val="00F57D77"/>
    <w:rsid w:val="00F64702"/>
    <w:rsid w:val="00F6678C"/>
    <w:rsid w:val="00F67F53"/>
    <w:rsid w:val="00F70590"/>
    <w:rsid w:val="00F82367"/>
    <w:rsid w:val="00F83F1B"/>
    <w:rsid w:val="00F8594F"/>
    <w:rsid w:val="00F86611"/>
    <w:rsid w:val="00F87FC1"/>
    <w:rsid w:val="00F9018B"/>
    <w:rsid w:val="00F90B9D"/>
    <w:rsid w:val="00F942BD"/>
    <w:rsid w:val="00F94DA4"/>
    <w:rsid w:val="00FA5111"/>
    <w:rsid w:val="00FA76C7"/>
    <w:rsid w:val="00FB1BE5"/>
    <w:rsid w:val="00FC3ABD"/>
    <w:rsid w:val="00FC6B2C"/>
    <w:rsid w:val="00FC7F09"/>
    <w:rsid w:val="00FD4701"/>
    <w:rsid w:val="00FE1850"/>
    <w:rsid w:val="00FE1932"/>
    <w:rsid w:val="00FE3F44"/>
    <w:rsid w:val="00FF0432"/>
    <w:rsid w:val="00FF18E8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5B"/>
  </w:style>
  <w:style w:type="paragraph" w:styleId="10">
    <w:name w:val="heading 1"/>
    <w:basedOn w:val="a"/>
    <w:next w:val="a"/>
    <w:link w:val="11"/>
    <w:qFormat/>
    <w:rsid w:val="00F70590"/>
    <w:pPr>
      <w:keepNext/>
      <w:widowControl w:val="0"/>
      <w:tabs>
        <w:tab w:val="left" w:pos="1445"/>
      </w:tabs>
      <w:autoSpaceDE w:val="0"/>
      <w:autoSpaceDN w:val="0"/>
      <w:spacing w:before="0" w:line="221" w:lineRule="exact"/>
      <w:jc w:val="center"/>
      <w:outlineLvl w:val="0"/>
    </w:pPr>
    <w:rPr>
      <w:rFonts w:ascii="Times New Roman" w:eastAsia="Times New Roman" w:hAnsi="Times New Roman" w:cs="Times New Roman"/>
      <w:shadow/>
      <w:spacing w:val="2"/>
      <w:sz w:val="21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3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705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D4124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D4124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ED4124"/>
  </w:style>
  <w:style w:type="table" w:styleId="a5">
    <w:name w:val="Table Grid"/>
    <w:basedOn w:val="a1"/>
    <w:rsid w:val="003531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1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1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6C7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C72"/>
  </w:style>
  <w:style w:type="paragraph" w:styleId="aa">
    <w:name w:val="footer"/>
    <w:basedOn w:val="a"/>
    <w:link w:val="ab"/>
    <w:uiPriority w:val="99"/>
    <w:unhideWhenUsed/>
    <w:rsid w:val="00B86C7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C72"/>
  </w:style>
  <w:style w:type="paragraph" w:customStyle="1" w:styleId="Default">
    <w:name w:val="Default"/>
    <w:rsid w:val="001424EA"/>
    <w:pPr>
      <w:autoSpaceDE w:val="0"/>
      <w:autoSpaceDN w:val="0"/>
      <w:adjustRightInd w:val="0"/>
      <w:spacing w:before="100" w:before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330C06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70590"/>
    <w:rPr>
      <w:rFonts w:ascii="Times New Roman" w:eastAsia="Times New Roman" w:hAnsi="Times New Roman" w:cs="Times New Roman"/>
      <w:shadow/>
      <w:spacing w:val="2"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05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F70590"/>
    <w:pPr>
      <w:autoSpaceDE w:val="0"/>
      <w:autoSpaceDN w:val="0"/>
      <w:adjustRightInd w:val="0"/>
      <w:spacing w:before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F70590"/>
    <w:pPr>
      <w:spacing w:before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">
    <w:name w:val="Заголовок Мой1"/>
    <w:basedOn w:val="ac"/>
    <w:link w:val="13"/>
    <w:qFormat/>
    <w:rsid w:val="00D023B9"/>
    <w:pPr>
      <w:numPr>
        <w:numId w:val="1"/>
      </w:numPr>
      <w:jc w:val="center"/>
    </w:pPr>
    <w:rPr>
      <w:rFonts w:ascii="Times New Roman" w:hAnsi="Times New Roman" w:cs="Times New Roman"/>
      <w:b/>
      <w:color w:val="1F497D" w:themeColor="text2"/>
      <w:sz w:val="28"/>
      <w:szCs w:val="28"/>
    </w:rPr>
  </w:style>
  <w:style w:type="paragraph" w:styleId="af">
    <w:name w:val="TOC Heading"/>
    <w:basedOn w:val="10"/>
    <w:next w:val="a"/>
    <w:uiPriority w:val="39"/>
    <w:semiHidden/>
    <w:unhideWhenUsed/>
    <w:qFormat/>
    <w:rsid w:val="00D023B9"/>
    <w:pPr>
      <w:keepLines/>
      <w:widowControl/>
      <w:tabs>
        <w:tab w:val="clear" w:pos="1445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shadow w:val="0"/>
      <w:color w:val="365F91" w:themeColor="accent1" w:themeShade="BF"/>
      <w:spacing w:val="0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D023B9"/>
  </w:style>
  <w:style w:type="character" w:customStyle="1" w:styleId="13">
    <w:name w:val="Заголовок Мой1 Знак"/>
    <w:basedOn w:val="ad"/>
    <w:link w:val="1"/>
    <w:rsid w:val="00D023B9"/>
    <w:rPr>
      <w:rFonts w:ascii="Times New Roman" w:hAnsi="Times New Roman" w:cs="Times New Roman"/>
      <w:b/>
      <w:color w:val="1F497D" w:themeColor="text2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D023B9"/>
    <w:pPr>
      <w:spacing w:after="100"/>
    </w:pPr>
  </w:style>
  <w:style w:type="character" w:styleId="af0">
    <w:name w:val="Hyperlink"/>
    <w:basedOn w:val="a0"/>
    <w:uiPriority w:val="99"/>
    <w:unhideWhenUsed/>
    <w:rsid w:val="00D023B9"/>
    <w:rPr>
      <w:color w:val="0000FF" w:themeColor="hyperlink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E113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E1130"/>
  </w:style>
  <w:style w:type="paragraph" w:customStyle="1" w:styleId="af3">
    <w:name w:val="Знак"/>
    <w:basedOn w:val="a"/>
    <w:rsid w:val="00261E3A"/>
    <w:pPr>
      <w:spacing w:before="0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Book Title"/>
    <w:basedOn w:val="a0"/>
    <w:uiPriority w:val="33"/>
    <w:qFormat/>
    <w:rsid w:val="00E072FC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553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Стиль1!"/>
    <w:basedOn w:val="2"/>
    <w:link w:val="16"/>
    <w:qFormat/>
    <w:rsid w:val="00553054"/>
    <w:pPr>
      <w:spacing w:after="100" w:afterAutospacing="1"/>
      <w:jc w:val="center"/>
    </w:pPr>
    <w:rPr>
      <w:rFonts w:ascii="Times New Roman" w:hAnsi="Times New Roman"/>
      <w:color w:val="1F497D" w:themeColor="text2"/>
      <w:sz w:val="28"/>
      <w:szCs w:val="28"/>
    </w:rPr>
  </w:style>
  <w:style w:type="paragraph" w:styleId="af5">
    <w:name w:val="No Spacing"/>
    <w:uiPriority w:val="1"/>
    <w:qFormat/>
    <w:rsid w:val="00553054"/>
    <w:pPr>
      <w:spacing w:before="0" w:line="240" w:lineRule="auto"/>
    </w:pPr>
  </w:style>
  <w:style w:type="character" w:customStyle="1" w:styleId="16">
    <w:name w:val="Стиль1! Знак"/>
    <w:basedOn w:val="20"/>
    <w:link w:val="15"/>
    <w:rsid w:val="00553054"/>
    <w:rPr>
      <w:rFonts w:ascii="Times New Roman" w:eastAsiaTheme="majorEastAsia" w:hAnsi="Times New Roman" w:cstheme="majorBidi"/>
      <w:b/>
      <w:bCs/>
      <w:color w:val="1F497D" w:themeColor="text2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53054"/>
    <w:pPr>
      <w:spacing w:after="100"/>
      <w:ind w:left="220"/>
    </w:pPr>
  </w:style>
  <w:style w:type="table" w:customStyle="1" w:styleId="17">
    <w:name w:val="Сетка таблицы1"/>
    <w:basedOn w:val="a1"/>
    <w:next w:val="a5"/>
    <w:uiPriority w:val="59"/>
    <w:rsid w:val="00FE193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nhideWhenUsed/>
    <w:rsid w:val="005071E3"/>
    <w:pPr>
      <w:spacing w:before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071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12E4-4578-4C5D-8184-70899D3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KuznecovaV</dc:creator>
  <cp:lastModifiedBy>Вера</cp:lastModifiedBy>
  <cp:revision>20</cp:revision>
  <cp:lastPrinted>2019-01-06T10:42:00Z</cp:lastPrinted>
  <dcterms:created xsi:type="dcterms:W3CDTF">2017-12-21T11:26:00Z</dcterms:created>
  <dcterms:modified xsi:type="dcterms:W3CDTF">2019-01-13T20:13:00Z</dcterms:modified>
</cp:coreProperties>
</file>